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22D2" w:rsidRPr="00C50DFE" w:rsidRDefault="009E22D2" w:rsidP="009E22D2">
      <w:pPr>
        <w:widowControl w:val="0"/>
        <w:spacing w:before="100" w:beforeAutospacing="1" w:after="100" w:afterAutospacing="1" w:line="360" w:lineRule="auto"/>
        <w:ind w:right="-164"/>
        <w:jc w:val="both"/>
        <w:rPr>
          <w:rFonts w:ascii="Palatino Linotype" w:eastAsia="Calibri" w:hAnsi="Palatino Linotype" w:cs="Arial"/>
          <w:b/>
          <w:color w:val="000000"/>
        </w:rPr>
      </w:pPr>
      <w:r w:rsidRPr="0007653D">
        <w:rPr>
          <w:rFonts w:ascii="Palatino Linotype" w:hAnsi="Palatino Linotype" w:cs="Arial"/>
          <w:b/>
        </w:rPr>
        <w:t xml:space="preserve">VOTO PARTICULAR QUE FORMULA LA COMISIONADA EVA ABAID YAPUR, EN RELACIÓN CON LA RESOLUCIÓN DICTADA POR EL PLENO DEL INSTITUTO DE TRANSPARENCIA, ACCESO A LA INFORMACIÓN PÚBLICA Y PROTECCIÓN DE DATOS PERSONALES DEL ESTADO DE MÉXICO Y MUNICIPIOS, EN LA </w:t>
      </w:r>
      <w:r w:rsidR="00C50DFE">
        <w:rPr>
          <w:rFonts w:ascii="Palatino Linotype" w:hAnsi="Palatino Linotype" w:cs="Arial"/>
          <w:b/>
        </w:rPr>
        <w:t xml:space="preserve">TRIGÉSIMA </w:t>
      </w:r>
      <w:r w:rsidRPr="0007653D">
        <w:rPr>
          <w:rFonts w:ascii="Palatino Linotype" w:hAnsi="Palatino Linotype" w:cs="Arial"/>
          <w:b/>
        </w:rPr>
        <w:t xml:space="preserve">SESIÓN ORDINARIA DE </w:t>
      </w:r>
      <w:r w:rsidR="00C50DFE">
        <w:rPr>
          <w:rFonts w:ascii="Palatino Linotype" w:hAnsi="Palatino Linotype" w:cs="Arial"/>
          <w:b/>
        </w:rPr>
        <w:t xml:space="preserve">VEINTIDÓS </w:t>
      </w:r>
      <w:r>
        <w:rPr>
          <w:rFonts w:ascii="Palatino Linotype" w:hAnsi="Palatino Linotype" w:cs="Arial"/>
          <w:b/>
        </w:rPr>
        <w:t>DE AGOSTO DE DOS MIL DIECIOCHO</w:t>
      </w:r>
      <w:r w:rsidR="00B3668D">
        <w:rPr>
          <w:rFonts w:ascii="Palatino Linotype" w:hAnsi="Palatino Linotype" w:cs="Arial"/>
          <w:b/>
        </w:rPr>
        <w:t xml:space="preserve">, EN </w:t>
      </w:r>
      <w:r w:rsidR="00C50DFE">
        <w:rPr>
          <w:rFonts w:ascii="Palatino Linotype" w:hAnsi="Palatino Linotype" w:cs="Arial"/>
          <w:b/>
        </w:rPr>
        <w:t>E</w:t>
      </w:r>
      <w:r w:rsidR="00B3668D">
        <w:rPr>
          <w:rFonts w:ascii="Palatino Linotype" w:hAnsi="Palatino Linotype" w:cs="Arial"/>
          <w:b/>
        </w:rPr>
        <w:t>L</w:t>
      </w:r>
      <w:r w:rsidRPr="0007653D">
        <w:rPr>
          <w:rFonts w:ascii="Palatino Linotype" w:hAnsi="Palatino Linotype" w:cs="Arial"/>
          <w:b/>
        </w:rPr>
        <w:t xml:space="preserve"> RECURSO DE REVISIÓN</w:t>
      </w:r>
      <w:r w:rsidR="00B3668D">
        <w:rPr>
          <w:rFonts w:ascii="Palatino Linotype" w:hAnsi="Palatino Linotype" w:cs="Arial"/>
          <w:b/>
        </w:rPr>
        <w:t xml:space="preserve"> </w:t>
      </w:r>
      <w:r w:rsidR="00C50DFE">
        <w:rPr>
          <w:rFonts w:ascii="Palatino Linotype" w:hAnsi="Palatino Linotype"/>
          <w:b/>
        </w:rPr>
        <w:t>02224</w:t>
      </w:r>
      <w:r w:rsidR="00B3668D" w:rsidRPr="00C50DFE">
        <w:rPr>
          <w:rFonts w:ascii="Palatino Linotype" w:hAnsi="Palatino Linotype"/>
          <w:b/>
        </w:rPr>
        <w:t>/INFOEM/IP/RR/2018.</w:t>
      </w:r>
    </w:p>
    <w:p w:rsidR="009E22D2" w:rsidRPr="00E42755" w:rsidRDefault="009E22D2" w:rsidP="009E22D2">
      <w:pPr>
        <w:spacing w:before="100" w:beforeAutospacing="1" w:after="100" w:afterAutospacing="1" w:line="360" w:lineRule="auto"/>
        <w:jc w:val="both"/>
        <w:rPr>
          <w:rFonts w:ascii="Palatino Linotype" w:hAnsi="Palatino Linotype" w:cs="Arial"/>
        </w:rPr>
      </w:pPr>
      <w:r w:rsidRPr="00E42755">
        <w:rPr>
          <w:rFonts w:ascii="Palatino Linotype" w:hAnsi="Palatino Linotype" w:cs="Arial"/>
        </w:rPr>
        <w:t xml:space="preserve">Con fundamento en lo dispuesto por </w:t>
      </w:r>
      <w:r>
        <w:rPr>
          <w:rFonts w:ascii="Palatino Linotype" w:hAnsi="Palatino Linotype" w:cs="Arial"/>
        </w:rPr>
        <w:t>el</w:t>
      </w:r>
      <w:r w:rsidRPr="00E42755">
        <w:rPr>
          <w:rFonts w:ascii="Palatino Linotype" w:hAnsi="Palatino Linotype" w:cs="Arial"/>
        </w:rPr>
        <w:t xml:space="preserve"> artículo </w:t>
      </w:r>
      <w:r>
        <w:rPr>
          <w:rFonts w:ascii="Palatino Linotype" w:hAnsi="Palatino Linotype" w:cs="Arial"/>
        </w:rPr>
        <w:t>14</w:t>
      </w:r>
      <w:r w:rsidR="00AF22AF">
        <w:rPr>
          <w:rFonts w:ascii="Palatino Linotype" w:hAnsi="Palatino Linotype" w:cs="Arial"/>
        </w:rPr>
        <w:t>,</w:t>
      </w:r>
      <w:r w:rsidRPr="00E42755">
        <w:rPr>
          <w:rFonts w:ascii="Palatino Linotype" w:hAnsi="Palatino Linotype" w:cs="Arial"/>
        </w:rPr>
        <w:t xml:space="preserve"> fracciones </w:t>
      </w:r>
      <w:r>
        <w:rPr>
          <w:rFonts w:ascii="Palatino Linotype" w:hAnsi="Palatino Linotype" w:cs="Arial"/>
        </w:rPr>
        <w:t xml:space="preserve">X y XI </w:t>
      </w:r>
      <w:r w:rsidRPr="00E42755">
        <w:rPr>
          <w:rFonts w:ascii="Palatino Linotype" w:hAnsi="Palatino Linotype" w:cs="Arial"/>
        </w:rPr>
        <w:t>del Reglamento Interior del Instituto de Transparencia, Acceso a la Información Pública y Protección de Datos Personales del Estado de México y Municipios, la que suscribe</w:t>
      </w:r>
      <w:r w:rsidRPr="00E42755">
        <w:rPr>
          <w:rFonts w:ascii="Palatino Linotype" w:hAnsi="Palatino Linotype" w:cs="Arial"/>
          <w:b/>
          <w:lang w:val="es-ES_tradnl"/>
        </w:rPr>
        <w:t xml:space="preserve"> </w:t>
      </w:r>
      <w:r w:rsidRPr="00E42755">
        <w:rPr>
          <w:rFonts w:ascii="Palatino Linotype" w:hAnsi="Palatino Linotype" w:cs="Arial"/>
          <w:b/>
        </w:rPr>
        <w:t xml:space="preserve">EVA ABAID YAPUR </w:t>
      </w:r>
      <w:r w:rsidRPr="00E42755">
        <w:rPr>
          <w:rFonts w:ascii="Palatino Linotype" w:hAnsi="Palatino Linotype" w:cs="Arial"/>
        </w:rPr>
        <w:t xml:space="preserve">emite </w:t>
      </w:r>
      <w:r w:rsidRPr="00E42755">
        <w:rPr>
          <w:rFonts w:ascii="Palatino Linotype" w:hAnsi="Palatino Linotype" w:cs="Arial"/>
          <w:b/>
        </w:rPr>
        <w:t xml:space="preserve">VOTO PARTICULAR </w:t>
      </w:r>
      <w:r w:rsidRPr="00E42755">
        <w:rPr>
          <w:rFonts w:ascii="Palatino Linotype" w:hAnsi="Palatino Linotype" w:cs="Arial"/>
        </w:rPr>
        <w:t>respect</w:t>
      </w:r>
      <w:r w:rsidR="00C50DFE">
        <w:rPr>
          <w:rFonts w:ascii="Palatino Linotype" w:hAnsi="Palatino Linotype" w:cs="Arial"/>
        </w:rPr>
        <w:t>o de la resolución dictada en el</w:t>
      </w:r>
      <w:r w:rsidRPr="00E42755">
        <w:rPr>
          <w:rFonts w:ascii="Palatino Linotype" w:hAnsi="Palatino Linotype" w:cs="Arial"/>
        </w:rPr>
        <w:t xml:space="preserve"> recurso de revisión </w:t>
      </w:r>
      <w:r w:rsidR="00B3668D" w:rsidRPr="00C50DFE">
        <w:rPr>
          <w:rFonts w:ascii="Palatino Linotype" w:hAnsi="Palatino Linotype"/>
          <w:b/>
        </w:rPr>
        <w:t>022</w:t>
      </w:r>
      <w:r w:rsidR="00C50DFE">
        <w:rPr>
          <w:rFonts w:ascii="Palatino Linotype" w:hAnsi="Palatino Linotype"/>
          <w:b/>
        </w:rPr>
        <w:t>24</w:t>
      </w:r>
      <w:r w:rsidR="00B3668D" w:rsidRPr="00C50DFE">
        <w:rPr>
          <w:rFonts w:ascii="Palatino Linotype" w:hAnsi="Palatino Linotype"/>
          <w:b/>
        </w:rPr>
        <w:t>/INFOEM/IP/RR/2018</w:t>
      </w:r>
      <w:r w:rsidRPr="00E42755">
        <w:rPr>
          <w:rFonts w:ascii="Palatino Linotype" w:hAnsi="Palatino Linotype" w:cs="Arial"/>
        </w:rPr>
        <w:t xml:space="preserve">, pronunciada por el Pleno de este Instituto ante el proyecto presentado por </w:t>
      </w:r>
      <w:r>
        <w:rPr>
          <w:rFonts w:ascii="Palatino Linotype" w:hAnsi="Palatino Linotype" w:cs="Arial"/>
        </w:rPr>
        <w:t>el</w:t>
      </w:r>
      <w:r w:rsidRPr="00E42755">
        <w:rPr>
          <w:rFonts w:ascii="Palatino Linotype" w:hAnsi="Palatino Linotype" w:cs="Arial"/>
        </w:rPr>
        <w:t xml:space="preserve"> Comisionad</w:t>
      </w:r>
      <w:r>
        <w:rPr>
          <w:rFonts w:ascii="Palatino Linotype" w:hAnsi="Palatino Linotype" w:cs="Arial"/>
        </w:rPr>
        <w:t xml:space="preserve">o </w:t>
      </w:r>
      <w:r w:rsidR="00C50DFE">
        <w:rPr>
          <w:rFonts w:ascii="Palatino Linotype" w:hAnsi="Palatino Linotype" w:cs="Arial"/>
          <w:b/>
        </w:rPr>
        <w:t>JAVIER MARTÍNEZ CRUZ</w:t>
      </w:r>
      <w:r w:rsidRPr="0007653D">
        <w:rPr>
          <w:rFonts w:ascii="Palatino Linotype" w:hAnsi="Palatino Linotype" w:cs="Arial"/>
        </w:rPr>
        <w:t xml:space="preserve">, </w:t>
      </w:r>
      <w:r>
        <w:rPr>
          <w:rFonts w:ascii="Palatino Linotype" w:hAnsi="Palatino Linotype" w:cs="Arial"/>
        </w:rPr>
        <w:t>que es del tenor siguiente.</w:t>
      </w:r>
    </w:p>
    <w:p w:rsidR="009E22D2" w:rsidRDefault="009E22D2" w:rsidP="009E22D2">
      <w:pPr>
        <w:spacing w:before="100" w:beforeAutospacing="1" w:after="100" w:afterAutospacing="1" w:line="360" w:lineRule="auto"/>
        <w:jc w:val="both"/>
        <w:rPr>
          <w:rFonts w:ascii="Palatino Linotype" w:hAnsi="Palatino Linotype"/>
        </w:rPr>
      </w:pPr>
      <w:r w:rsidRPr="00D93A88">
        <w:rPr>
          <w:rFonts w:ascii="Palatino Linotype" w:hAnsi="Palatino Linotype"/>
        </w:rPr>
        <w:t>Es de destacar,</w:t>
      </w:r>
      <w:r>
        <w:rPr>
          <w:rFonts w:ascii="Palatino Linotype" w:hAnsi="Palatino Linotype"/>
        </w:rPr>
        <w:t xml:space="preserve"> que la suscrita</w:t>
      </w:r>
      <w:r w:rsidRPr="00D93A88">
        <w:rPr>
          <w:rFonts w:ascii="Palatino Linotype" w:hAnsi="Palatino Linotype"/>
        </w:rPr>
        <w:t xml:space="preserve"> compart</w:t>
      </w:r>
      <w:r w:rsidR="0012464B">
        <w:rPr>
          <w:rFonts w:ascii="Palatino Linotype" w:hAnsi="Palatino Linotype"/>
        </w:rPr>
        <w:t>e esencialmente la causa que dio</w:t>
      </w:r>
      <w:r>
        <w:rPr>
          <w:rFonts w:ascii="Palatino Linotype" w:hAnsi="Palatino Linotype"/>
        </w:rPr>
        <w:t xml:space="preserve"> origen a</w:t>
      </w:r>
      <w:r w:rsidR="00C50DFE">
        <w:rPr>
          <w:rFonts w:ascii="Palatino Linotype" w:hAnsi="Palatino Linotype"/>
        </w:rPr>
        <w:t>l</w:t>
      </w:r>
      <w:r>
        <w:rPr>
          <w:rFonts w:ascii="Palatino Linotype" w:hAnsi="Palatino Linotype"/>
        </w:rPr>
        <w:t xml:space="preserve"> recurso de r</w:t>
      </w:r>
      <w:r w:rsidRPr="00D93A88">
        <w:rPr>
          <w:rFonts w:ascii="Palatino Linotype" w:hAnsi="Palatino Linotype"/>
        </w:rPr>
        <w:t>evis</w:t>
      </w:r>
      <w:r>
        <w:rPr>
          <w:rFonts w:ascii="Palatino Linotype" w:hAnsi="Palatino Linotype"/>
        </w:rPr>
        <w:t>ión; empero, estimo</w:t>
      </w:r>
      <w:r w:rsidRPr="00D93A88">
        <w:rPr>
          <w:rFonts w:ascii="Palatino Linotype" w:hAnsi="Palatino Linotype"/>
        </w:rPr>
        <w:t xml:space="preserve"> necesario precisar algunas consideraciones de hecho y de derecho</w:t>
      </w:r>
      <w:r>
        <w:rPr>
          <w:rFonts w:ascii="Palatino Linotype" w:hAnsi="Palatino Linotype"/>
        </w:rPr>
        <w:t>, tocante a la resolución correspondiente.</w:t>
      </w:r>
    </w:p>
    <w:p w:rsidR="009E22D2" w:rsidRPr="00B3668D" w:rsidRDefault="009E22D2" w:rsidP="00B3668D">
      <w:pPr>
        <w:spacing w:before="100" w:beforeAutospacing="1" w:after="100" w:afterAutospacing="1" w:line="360" w:lineRule="auto"/>
        <w:jc w:val="both"/>
        <w:rPr>
          <w:rFonts w:ascii="Palatino Linotype" w:hAnsi="Palatino Linotype"/>
        </w:rPr>
      </w:pPr>
      <w:r>
        <w:rPr>
          <w:rFonts w:ascii="Palatino Linotype" w:hAnsi="Palatino Linotype"/>
        </w:rPr>
        <w:t>Al respecto, t</w:t>
      </w:r>
      <w:r w:rsidRPr="00D93A88">
        <w:rPr>
          <w:rFonts w:ascii="Palatino Linotype" w:hAnsi="Palatino Linotype"/>
        </w:rPr>
        <w:t xml:space="preserve">al y como quedó debidamente asentado en la resolución materia del presente voto, </w:t>
      </w:r>
      <w:r w:rsidR="00C50DFE">
        <w:rPr>
          <w:rFonts w:ascii="Palatino Linotype" w:hAnsi="Palatino Linotype"/>
        </w:rPr>
        <w:t>el</w:t>
      </w:r>
      <w:r w:rsidRPr="00D93A88">
        <w:rPr>
          <w:rFonts w:ascii="Palatino Linotype" w:hAnsi="Palatino Linotype"/>
        </w:rPr>
        <w:t xml:space="preserve"> particular </w:t>
      </w:r>
      <w:r>
        <w:rPr>
          <w:rFonts w:ascii="Palatino Linotype" w:hAnsi="Palatino Linotype"/>
        </w:rPr>
        <w:t xml:space="preserve">requirió de la </w:t>
      </w:r>
      <w:r>
        <w:rPr>
          <w:rFonts w:ascii="Palatino Linotype" w:hAnsi="Palatino Linotype"/>
          <w:b/>
        </w:rPr>
        <w:t xml:space="preserve">Universidad Politécnica del Valle de Toluca, </w:t>
      </w:r>
      <w:r>
        <w:rPr>
          <w:rFonts w:ascii="Palatino Linotype" w:hAnsi="Palatino Linotype"/>
        </w:rPr>
        <w:t xml:space="preserve">en lo sucesivo </w:t>
      </w:r>
      <w:r>
        <w:rPr>
          <w:rFonts w:ascii="Palatino Linotype" w:hAnsi="Palatino Linotype"/>
          <w:b/>
        </w:rPr>
        <w:t xml:space="preserve">EL SUJETO OBLIGADO, </w:t>
      </w:r>
      <w:r>
        <w:rPr>
          <w:rFonts w:ascii="Palatino Linotype" w:hAnsi="Palatino Linotype"/>
        </w:rPr>
        <w:t>el histórico de</w:t>
      </w:r>
      <w:r w:rsidR="00B3668D">
        <w:rPr>
          <w:rFonts w:ascii="Palatino Linotype" w:hAnsi="Palatino Linotype"/>
        </w:rPr>
        <w:t xml:space="preserve"> </w:t>
      </w:r>
      <w:r w:rsidR="00C50DFE">
        <w:rPr>
          <w:rFonts w:ascii="Palatino Linotype" w:hAnsi="Palatino Linotype"/>
        </w:rPr>
        <w:t xml:space="preserve">programas anuales de Protección Civil, así como el listado de brigadas de la universidad y los documentos de capacitación a los brigadistas. </w:t>
      </w:r>
    </w:p>
    <w:p w:rsidR="00311484" w:rsidRDefault="009E22D2" w:rsidP="009E22D2">
      <w:pPr>
        <w:spacing w:before="100" w:beforeAutospacing="1" w:after="100" w:afterAutospacing="1" w:line="360" w:lineRule="auto"/>
        <w:ind w:right="49"/>
        <w:jc w:val="both"/>
        <w:rPr>
          <w:rFonts w:ascii="Palatino Linotype" w:hAnsi="Palatino Linotype" w:cs="Arial"/>
        </w:rPr>
      </w:pPr>
      <w:r>
        <w:rPr>
          <w:rFonts w:ascii="Palatino Linotype" w:hAnsi="Palatino Linotype" w:cs="Arial"/>
        </w:rPr>
        <w:lastRenderedPageBreak/>
        <w:t xml:space="preserve">Del expediente electrónico del </w:t>
      </w:r>
      <w:r w:rsidRPr="00D87598">
        <w:rPr>
          <w:rFonts w:ascii="Palatino Linotype" w:hAnsi="Palatino Linotype" w:cs="Arial"/>
        </w:rPr>
        <w:t>Sistema de Acceso a la Información Mexiquens</w:t>
      </w:r>
      <w:r>
        <w:rPr>
          <w:rFonts w:ascii="Palatino Linotype" w:hAnsi="Palatino Linotype" w:cs="Arial"/>
        </w:rPr>
        <w:t xml:space="preserve">e, </w:t>
      </w:r>
      <w:r w:rsidRPr="00674996">
        <w:rPr>
          <w:rFonts w:ascii="Palatino Linotype" w:hAnsi="Palatino Linotype" w:cs="Arial"/>
          <w:b/>
        </w:rPr>
        <w:t>SAIMEX</w:t>
      </w:r>
      <w:r>
        <w:rPr>
          <w:rFonts w:ascii="Palatino Linotype" w:hAnsi="Palatino Linotype" w:cs="Arial"/>
          <w:b/>
        </w:rPr>
        <w:t xml:space="preserve">, </w:t>
      </w:r>
      <w:r>
        <w:rPr>
          <w:rFonts w:ascii="Palatino Linotype" w:hAnsi="Palatino Linotype" w:cs="Arial"/>
        </w:rPr>
        <w:t xml:space="preserve">se advierte que </w:t>
      </w:r>
      <w:r w:rsidRPr="00B57FE6">
        <w:rPr>
          <w:rFonts w:ascii="Palatino Linotype" w:hAnsi="Palatino Linotype" w:cs="Arial"/>
          <w:b/>
        </w:rPr>
        <w:t>EL SUJETO OBLIGADO</w:t>
      </w:r>
      <w:r w:rsidRPr="00AD7F4F">
        <w:rPr>
          <w:rFonts w:ascii="Palatino Linotype" w:hAnsi="Palatino Linotype" w:cs="Arial"/>
        </w:rPr>
        <w:t xml:space="preserve"> </w:t>
      </w:r>
      <w:r>
        <w:rPr>
          <w:rFonts w:ascii="Palatino Linotype" w:hAnsi="Palatino Linotype" w:cs="Arial"/>
        </w:rPr>
        <w:t>en</w:t>
      </w:r>
      <w:r w:rsidR="00C50DFE">
        <w:rPr>
          <w:rFonts w:ascii="Palatino Linotype" w:hAnsi="Palatino Linotype" w:cs="Arial"/>
        </w:rPr>
        <w:t xml:space="preserve"> su </w:t>
      </w:r>
      <w:r>
        <w:rPr>
          <w:rFonts w:ascii="Palatino Linotype" w:hAnsi="Palatino Linotype" w:cs="Arial"/>
        </w:rPr>
        <w:t xml:space="preserve">respuesta adjuntó diversos archivos, mismos </w:t>
      </w:r>
      <w:r w:rsidR="00311484">
        <w:rPr>
          <w:rFonts w:ascii="Palatino Linotype" w:hAnsi="Palatino Linotype" w:cs="Arial"/>
        </w:rPr>
        <w:t xml:space="preserve">en los que manifestó que derivado de la búsqueda exhaustiva en los archivos </w:t>
      </w:r>
      <w:r w:rsidR="008D2D7A">
        <w:rPr>
          <w:rFonts w:ascii="Palatino Linotype" w:hAnsi="Palatino Linotype" w:cs="Arial"/>
        </w:rPr>
        <w:t xml:space="preserve">del Departamento de Recursos Humanos y Materiales </w:t>
      </w:r>
      <w:r w:rsidR="00311484">
        <w:rPr>
          <w:rFonts w:ascii="Palatino Linotype" w:hAnsi="Palatino Linotype" w:cs="Arial"/>
        </w:rPr>
        <w:t xml:space="preserve">no se cuenta con información del periodo de 22 de mayo de 2017 al 22 de mayo de 2018. </w:t>
      </w:r>
    </w:p>
    <w:p w:rsidR="009E22D2" w:rsidRPr="00447785" w:rsidRDefault="009E22D2" w:rsidP="009E22D2">
      <w:pPr>
        <w:spacing w:before="100" w:beforeAutospacing="1" w:after="100" w:afterAutospacing="1" w:line="360" w:lineRule="auto"/>
        <w:jc w:val="both"/>
        <w:rPr>
          <w:rFonts w:ascii="Palatino Linotype" w:hAnsi="Palatino Linotype" w:cs="Arial"/>
          <w:sz w:val="22"/>
          <w:szCs w:val="22"/>
        </w:rPr>
      </w:pPr>
      <w:r>
        <w:rPr>
          <w:rFonts w:ascii="Palatino Linotype" w:hAnsi="Palatino Linotype"/>
          <w:color w:val="000000"/>
          <w:lang w:val="es-MX" w:eastAsia="es-MX"/>
        </w:rPr>
        <w:t xml:space="preserve">Inconforme con la respuesta proporcionada, </w:t>
      </w:r>
      <w:r w:rsidR="008D2D7A">
        <w:rPr>
          <w:rFonts w:ascii="Palatino Linotype" w:hAnsi="Palatino Linotype"/>
          <w:b/>
          <w:color w:val="000000"/>
          <w:lang w:val="es-MX" w:eastAsia="es-MX"/>
        </w:rPr>
        <w:t>EL</w:t>
      </w:r>
      <w:r>
        <w:rPr>
          <w:rFonts w:ascii="Palatino Linotype" w:hAnsi="Palatino Linotype"/>
          <w:b/>
          <w:color w:val="000000"/>
          <w:lang w:val="es-MX" w:eastAsia="es-MX"/>
        </w:rPr>
        <w:t xml:space="preserve"> R</w:t>
      </w:r>
      <w:r w:rsidRPr="00833697">
        <w:rPr>
          <w:rFonts w:ascii="Palatino Linotype" w:hAnsi="Palatino Linotype"/>
          <w:b/>
          <w:color w:val="000000"/>
          <w:lang w:val="es-MX" w:eastAsia="es-MX"/>
        </w:rPr>
        <w:t>ECURRENTE</w:t>
      </w:r>
      <w:r>
        <w:rPr>
          <w:rFonts w:ascii="Palatino Linotype" w:hAnsi="Palatino Linotype"/>
          <w:color w:val="000000"/>
          <w:lang w:val="es-MX" w:eastAsia="es-MX"/>
        </w:rPr>
        <w:t xml:space="preserve"> </w:t>
      </w:r>
      <w:r w:rsidR="00B3668D">
        <w:rPr>
          <w:rFonts w:ascii="Palatino Linotype" w:hAnsi="Palatino Linotype" w:cs="Arial"/>
        </w:rPr>
        <w:t xml:space="preserve">interpuso </w:t>
      </w:r>
      <w:r w:rsidR="008D2D7A">
        <w:rPr>
          <w:rFonts w:ascii="Palatino Linotype" w:hAnsi="Palatino Linotype" w:cs="Arial"/>
        </w:rPr>
        <w:t>el</w:t>
      </w:r>
      <w:r>
        <w:rPr>
          <w:rFonts w:ascii="Palatino Linotype" w:hAnsi="Palatino Linotype" w:cs="Arial"/>
        </w:rPr>
        <w:t xml:space="preserve"> recurso de revisión de mérito.</w:t>
      </w:r>
    </w:p>
    <w:p w:rsidR="00B3668D" w:rsidRDefault="009E22D2" w:rsidP="00B3668D">
      <w:pPr>
        <w:spacing w:before="100" w:beforeAutospacing="1" w:after="100" w:afterAutospacing="1" w:line="360" w:lineRule="auto"/>
        <w:ind w:right="49"/>
        <w:jc w:val="both"/>
        <w:rPr>
          <w:rFonts w:ascii="Palatino Linotype" w:hAnsi="Palatino Linotype" w:cs="Arial"/>
        </w:rPr>
      </w:pPr>
      <w:r>
        <w:rPr>
          <w:rFonts w:ascii="Palatino Linotype" w:hAnsi="Palatino Linotype" w:cs="Arial"/>
        </w:rPr>
        <w:t>Así, del estudio d</w:t>
      </w:r>
      <w:r w:rsidR="00B3668D">
        <w:rPr>
          <w:rFonts w:ascii="Palatino Linotype" w:hAnsi="Palatino Linotype"/>
        </w:rPr>
        <w:t>e</w:t>
      </w:r>
      <w:r w:rsidR="008D2D7A">
        <w:rPr>
          <w:rFonts w:ascii="Palatino Linotype" w:hAnsi="Palatino Linotype"/>
        </w:rPr>
        <w:t>l</w:t>
      </w:r>
      <w:r>
        <w:rPr>
          <w:rFonts w:ascii="Palatino Linotype" w:hAnsi="Palatino Linotype"/>
        </w:rPr>
        <w:t xml:space="preserve"> </w:t>
      </w:r>
      <w:r w:rsidRPr="00A01905">
        <w:rPr>
          <w:rFonts w:ascii="Palatino Linotype" w:hAnsi="Palatino Linotype"/>
        </w:rPr>
        <w:t>expediente electrónico</w:t>
      </w:r>
      <w:r>
        <w:rPr>
          <w:rFonts w:ascii="Palatino Linotype" w:hAnsi="Palatino Linotype" w:cs="Arial"/>
        </w:rPr>
        <w:t xml:space="preserve"> la Ponencia </w:t>
      </w:r>
      <w:proofErr w:type="spellStart"/>
      <w:r>
        <w:rPr>
          <w:rFonts w:ascii="Palatino Linotype" w:hAnsi="Palatino Linotype" w:cs="Arial"/>
        </w:rPr>
        <w:t>Resolutora</w:t>
      </w:r>
      <w:proofErr w:type="spellEnd"/>
      <w:r>
        <w:rPr>
          <w:rFonts w:ascii="Palatino Linotype" w:hAnsi="Palatino Linotype" w:cs="Arial"/>
        </w:rPr>
        <w:t xml:space="preserve"> determinó </w:t>
      </w:r>
      <w:r>
        <w:rPr>
          <w:rFonts w:ascii="Palatino Linotype" w:hAnsi="Palatino Linotype" w:cs="Arial"/>
          <w:b/>
        </w:rPr>
        <w:t xml:space="preserve">MODIFICAR </w:t>
      </w:r>
      <w:r>
        <w:rPr>
          <w:rFonts w:ascii="Palatino Linotype" w:hAnsi="Palatino Linotype" w:cs="Arial"/>
        </w:rPr>
        <w:t xml:space="preserve">la respuesta del </w:t>
      </w:r>
      <w:r>
        <w:rPr>
          <w:rFonts w:ascii="Palatino Linotype" w:hAnsi="Palatino Linotype" w:cs="Arial"/>
          <w:b/>
        </w:rPr>
        <w:t>SUJETO OBLIGADO</w:t>
      </w:r>
      <w:r>
        <w:rPr>
          <w:rFonts w:ascii="Palatino Linotype" w:hAnsi="Palatino Linotype" w:cs="Arial"/>
        </w:rPr>
        <w:t xml:space="preserve"> y ordenar </w:t>
      </w:r>
      <w:r w:rsidR="003B0ABE">
        <w:rPr>
          <w:rFonts w:ascii="Palatino Linotype" w:hAnsi="Palatino Linotype" w:cs="Arial"/>
        </w:rPr>
        <w:t xml:space="preserve">previa búsqueda exhaustiva y razonable la entrega de lo </w:t>
      </w:r>
      <w:r w:rsidR="00B3668D">
        <w:rPr>
          <w:rFonts w:ascii="Palatino Linotype" w:hAnsi="Palatino Linotype" w:cs="Arial"/>
        </w:rPr>
        <w:t>siguiente:</w:t>
      </w:r>
    </w:p>
    <w:p w:rsidR="003B0ABE" w:rsidRPr="003B0ABE" w:rsidRDefault="003B0ABE" w:rsidP="00B425C2">
      <w:pPr>
        <w:pStyle w:val="Prrafodelista"/>
        <w:numPr>
          <w:ilvl w:val="0"/>
          <w:numId w:val="3"/>
        </w:numPr>
        <w:ind w:left="851" w:right="902" w:firstLine="0"/>
        <w:contextualSpacing/>
        <w:jc w:val="both"/>
        <w:rPr>
          <w:rFonts w:ascii="Palatino Linotype" w:hAnsi="Palatino Linotype"/>
          <w:i/>
        </w:rPr>
      </w:pPr>
      <w:r w:rsidRPr="003B0ABE">
        <w:rPr>
          <w:rFonts w:ascii="Palatino Linotype" w:hAnsi="Palatino Linotype" w:cs="Arial"/>
          <w:i/>
        </w:rPr>
        <w:t>Del periodo comprendido del trece de noviembre de dos mil seis al veintiuno de mayo de dos mil diecisiete</w:t>
      </w:r>
      <w:r w:rsidRPr="003B0ABE">
        <w:rPr>
          <w:rFonts w:ascii="Palatino Linotype" w:eastAsia="Calibri" w:hAnsi="Palatino Linotype" w:cs="Arial"/>
          <w:i/>
        </w:rPr>
        <w:t xml:space="preserve">, </w:t>
      </w:r>
      <w:r w:rsidRPr="003B0ABE">
        <w:rPr>
          <w:rFonts w:ascii="Palatino Linotype" w:hAnsi="Palatino Linotype" w:cs="Arial"/>
          <w:i/>
        </w:rPr>
        <w:t xml:space="preserve">de ser el caso en versión pública, </w:t>
      </w:r>
      <w:r w:rsidRPr="003B0ABE">
        <w:rPr>
          <w:rFonts w:ascii="Palatino Linotype" w:eastAsia="Calibri" w:hAnsi="Palatino Linotype" w:cs="Arial"/>
          <w:i/>
        </w:rPr>
        <w:t>programas anuales de protección civil, listado de brigadas, así como los documento(s) en donde conste(n) la capacitación a los brigadistas.</w:t>
      </w:r>
    </w:p>
    <w:p w:rsidR="003B0ABE" w:rsidRPr="003B0ABE" w:rsidRDefault="003B0ABE" w:rsidP="00B425C2">
      <w:pPr>
        <w:pStyle w:val="Prrafodelista"/>
        <w:ind w:left="851" w:right="902"/>
        <w:jc w:val="both"/>
        <w:rPr>
          <w:rFonts w:ascii="Palatino Linotype" w:eastAsia="Calibri" w:hAnsi="Palatino Linotype" w:cs="Arial"/>
          <w:i/>
          <w:lang w:val="es-ES_tradnl"/>
        </w:rPr>
      </w:pPr>
      <w:r w:rsidRPr="003B0ABE">
        <w:rPr>
          <w:rFonts w:ascii="Palatino Linotype" w:hAnsi="Palatino Linotype" w:cs="Arial"/>
          <w:bCs/>
          <w:i/>
          <w:shd w:val="clear" w:color="auto" w:fill="FFFFFF"/>
        </w:rPr>
        <w:t xml:space="preserve">Para lo cual se deberá emitir el Acuerdo del Comité de Transparencia en términos del artículo 49 fracción VIII y </w:t>
      </w:r>
      <w:r w:rsidRPr="003B0ABE">
        <w:rPr>
          <w:rFonts w:ascii="Palatino Linotype" w:eastAsia="Calibri" w:hAnsi="Palatino Linotype" w:cs="Arial"/>
          <w:i/>
          <w:lang w:val="es-ES_tradnl"/>
        </w:rPr>
        <w:t>132 fracción II de la Ley de Transparencia y Acceso a la Información Pública del Estado de México y Municipios vigente, en el que funde y motive las razones sobre los datos que se supriman o eliminen dentro del soporte documental respectivo objeto de las versiones públicas que se formulen y se ponga a disposición de la recurrente.</w:t>
      </w:r>
    </w:p>
    <w:p w:rsidR="003B0ABE" w:rsidRPr="003B0ABE" w:rsidRDefault="003B0ABE" w:rsidP="00B425C2">
      <w:pPr>
        <w:pStyle w:val="Prrafodelista"/>
        <w:ind w:left="851" w:right="902"/>
        <w:contextualSpacing/>
        <w:jc w:val="both"/>
        <w:rPr>
          <w:rFonts w:ascii="Palatino Linotype" w:hAnsi="Palatino Linotype"/>
          <w:i/>
        </w:rPr>
      </w:pPr>
    </w:p>
    <w:p w:rsidR="003B0ABE" w:rsidRPr="003B0ABE" w:rsidRDefault="003B0ABE" w:rsidP="00B425C2">
      <w:pPr>
        <w:pStyle w:val="Prrafodelista"/>
        <w:numPr>
          <w:ilvl w:val="0"/>
          <w:numId w:val="3"/>
        </w:numPr>
        <w:ind w:left="851" w:right="902" w:firstLine="0"/>
        <w:contextualSpacing/>
        <w:jc w:val="both"/>
        <w:rPr>
          <w:rFonts w:ascii="Palatino Linotype" w:eastAsia="Calibri" w:hAnsi="Palatino Linotype" w:cs="Arial"/>
          <w:i/>
        </w:rPr>
      </w:pPr>
      <w:r w:rsidRPr="003B0ABE">
        <w:rPr>
          <w:rFonts w:ascii="Palatino Linotype" w:eastAsia="Calibri" w:hAnsi="Palatino Linotype" w:cs="Arial"/>
          <w:i/>
        </w:rPr>
        <w:t>Por lo que se refiere al periodo comprendido del veintidós de mayo de dos mil diecisiete al veintidós de mayo de dos mil dieciocho el acuerdo del Comité de Transparencia relativo a la declaratoria de inexistencia correspondiente de la información solicitada, en términos de lo establecido en el Considerando Cuarto de la presente resolución.</w:t>
      </w:r>
    </w:p>
    <w:p w:rsidR="003B0ABE" w:rsidRPr="002927E2" w:rsidRDefault="003B0ABE" w:rsidP="00B425C2">
      <w:pPr>
        <w:pStyle w:val="Prrafodelista"/>
        <w:ind w:left="851" w:right="902"/>
        <w:jc w:val="both"/>
        <w:rPr>
          <w:rFonts w:ascii="Palatino Linotype" w:eastAsia="Calibri" w:hAnsi="Palatino Linotype" w:cs="Arial"/>
        </w:rPr>
      </w:pPr>
      <w:r w:rsidRPr="003B0ABE">
        <w:rPr>
          <w:rFonts w:ascii="Palatino Linotype" w:eastAsia="Calibri" w:hAnsi="Palatino Linotype" w:cs="Arial"/>
          <w:i/>
          <w:lang w:val="es-ES_tradnl"/>
        </w:rPr>
        <w:t xml:space="preserve">De ser el caso, y a pesar de la búsqueda exhaustiva y razonable no se localice la información cuya entrega a través del inciso a), el Sujeto Obligado deberá emitir </w:t>
      </w:r>
      <w:r w:rsidRPr="003B0ABE">
        <w:rPr>
          <w:rFonts w:ascii="Palatino Linotype" w:eastAsia="Calibri" w:hAnsi="Palatino Linotype" w:cs="Arial"/>
          <w:i/>
        </w:rPr>
        <w:t xml:space="preserve">acuerdo del Comité de Transparencia relativo a la declaratoria de inexistencia </w:t>
      </w:r>
      <w:r w:rsidRPr="003B0ABE">
        <w:rPr>
          <w:rFonts w:ascii="Palatino Linotype" w:eastAsia="Calibri" w:hAnsi="Palatino Linotype" w:cs="Arial"/>
          <w:i/>
        </w:rPr>
        <w:lastRenderedPageBreak/>
        <w:t>correspondiente, en términos de lo establecido en el Considerando Cuarto de la presente resolución.</w:t>
      </w:r>
    </w:p>
    <w:p w:rsidR="009E22D2" w:rsidRDefault="009E22D2" w:rsidP="009E22D2">
      <w:pPr>
        <w:spacing w:before="100" w:beforeAutospacing="1" w:after="100" w:afterAutospacing="1" w:line="360" w:lineRule="auto"/>
        <w:jc w:val="both"/>
        <w:rPr>
          <w:rFonts w:ascii="Palatino Linotype" w:hAnsi="Palatino Linotype" w:cs="Arial"/>
          <w:lang w:val="es-MX"/>
        </w:rPr>
      </w:pPr>
      <w:r>
        <w:rPr>
          <w:rFonts w:ascii="Palatino Linotype" w:hAnsi="Palatino Linotype" w:cs="Arial"/>
        </w:rPr>
        <w:t>E</w:t>
      </w:r>
      <w:r w:rsidRPr="004F3DBF">
        <w:rPr>
          <w:rFonts w:ascii="Palatino Linotype" w:hAnsi="Palatino Linotype" w:cs="Arial"/>
          <w:lang w:val="es-MX"/>
        </w:rPr>
        <w:t>n ese sentido, la que suscribe</w:t>
      </w:r>
      <w:r w:rsidR="003B0ABE">
        <w:rPr>
          <w:rFonts w:ascii="Palatino Linotype" w:hAnsi="Palatino Linotype" w:cs="Arial"/>
          <w:lang w:val="es-MX"/>
        </w:rPr>
        <w:t xml:space="preserve"> reitera, que si bien coincide</w:t>
      </w:r>
      <w:r>
        <w:rPr>
          <w:rFonts w:ascii="Palatino Linotype" w:hAnsi="Palatino Linotype" w:cs="Arial"/>
          <w:lang w:val="es-MX"/>
        </w:rPr>
        <w:t xml:space="preserve"> con las causas que dieron origen </w:t>
      </w:r>
      <w:r w:rsidR="003B0ABE">
        <w:rPr>
          <w:rFonts w:ascii="Palatino Linotype" w:hAnsi="Palatino Linotype" w:cs="Arial"/>
          <w:lang w:val="es-MX"/>
        </w:rPr>
        <w:t>al</w:t>
      </w:r>
      <w:r>
        <w:rPr>
          <w:rFonts w:ascii="Palatino Linotype" w:hAnsi="Palatino Linotype" w:cs="Arial"/>
          <w:lang w:val="es-MX"/>
        </w:rPr>
        <w:t xml:space="preserve"> recurso de revisión de mérito,</w:t>
      </w:r>
      <w:r w:rsidRPr="004F3DBF">
        <w:rPr>
          <w:rFonts w:ascii="Palatino Linotype" w:hAnsi="Palatino Linotype" w:cs="Arial"/>
          <w:lang w:val="es-MX"/>
        </w:rPr>
        <w:t xml:space="preserve"> difiero respecto </w:t>
      </w:r>
      <w:r>
        <w:rPr>
          <w:rFonts w:ascii="Palatino Linotype" w:hAnsi="Palatino Linotype" w:cs="Arial"/>
          <w:lang w:val="es-MX"/>
        </w:rPr>
        <w:t xml:space="preserve">a </w:t>
      </w:r>
      <w:r w:rsidR="00BE207C">
        <w:rPr>
          <w:rFonts w:ascii="Palatino Linotype" w:hAnsi="Palatino Linotype" w:cs="Arial"/>
          <w:lang w:val="es-MX"/>
        </w:rPr>
        <w:t xml:space="preserve">que </w:t>
      </w:r>
      <w:r w:rsidR="00AF22AF">
        <w:rPr>
          <w:rFonts w:ascii="Palatino Linotype" w:hAnsi="Palatino Linotype" w:cs="Arial"/>
          <w:lang w:val="es-MX"/>
        </w:rPr>
        <w:t xml:space="preserve">se ordene </w:t>
      </w:r>
      <w:r w:rsidR="003B0ABE">
        <w:rPr>
          <w:rFonts w:ascii="Palatino Linotype" w:hAnsi="Palatino Linotype" w:cs="Arial"/>
          <w:lang w:val="es-MX"/>
        </w:rPr>
        <w:t xml:space="preserve">del periodo comprendido del trece de noviembre de dos mil seis al veintiuno de mayo de dos mil diecisiete </w:t>
      </w:r>
      <w:r w:rsidR="00A24DF2">
        <w:rPr>
          <w:rFonts w:ascii="Palatino Linotype" w:hAnsi="Palatino Linotype" w:cs="Arial"/>
          <w:lang w:val="es-MX"/>
        </w:rPr>
        <w:t xml:space="preserve">los programas anuales de protección civil, listado de brigadas, así como los documentos en donde conste la capacitación a los brigadistas, </w:t>
      </w:r>
      <w:r w:rsidR="00AF22AF">
        <w:rPr>
          <w:rFonts w:ascii="Palatino Linotype" w:hAnsi="Palatino Linotype" w:cs="Arial"/>
          <w:lang w:val="es-MX"/>
        </w:rPr>
        <w:t xml:space="preserve">ya que el solicitante al pedir de inicio el histórico de </w:t>
      </w:r>
      <w:r w:rsidR="0012464B">
        <w:rPr>
          <w:rFonts w:ascii="Palatino Linotype" w:hAnsi="Palatino Linotype" w:cs="Arial"/>
          <w:lang w:val="es-MX"/>
        </w:rPr>
        <w:t xml:space="preserve">programas </w:t>
      </w:r>
      <w:r w:rsidR="00AF22AF">
        <w:rPr>
          <w:rFonts w:ascii="Palatino Linotype" w:hAnsi="Palatino Linotype" w:cs="Arial"/>
          <w:lang w:val="es-MX"/>
        </w:rPr>
        <w:t xml:space="preserve">se advierte que es desde la </w:t>
      </w:r>
      <w:r w:rsidR="009169AB">
        <w:rPr>
          <w:rFonts w:ascii="Palatino Linotype" w:hAnsi="Palatino Linotype" w:cs="Arial"/>
          <w:lang w:val="es-MX"/>
        </w:rPr>
        <w:t xml:space="preserve">fecha de inicio, por lo que es </w:t>
      </w:r>
      <w:r w:rsidR="00A24DF2">
        <w:rPr>
          <w:rFonts w:ascii="Palatino Linotype" w:hAnsi="Palatino Linotype" w:cs="Arial"/>
          <w:lang w:val="es-MX"/>
        </w:rPr>
        <w:t>29</w:t>
      </w:r>
      <w:r w:rsidR="009A1FE6">
        <w:rPr>
          <w:rFonts w:ascii="Palatino Linotype" w:hAnsi="Palatino Linotype" w:cs="Arial"/>
          <w:lang w:val="es-MX"/>
        </w:rPr>
        <w:t xml:space="preserve"> de octubre de 20</w:t>
      </w:r>
      <w:r w:rsidR="00A24DF2">
        <w:rPr>
          <w:rFonts w:ascii="Palatino Linotype" w:hAnsi="Palatino Linotype" w:cs="Arial"/>
          <w:lang w:val="es-MX"/>
        </w:rPr>
        <w:t>0</w:t>
      </w:r>
      <w:r w:rsidR="009A1FE6">
        <w:rPr>
          <w:rFonts w:ascii="Palatino Linotype" w:hAnsi="Palatino Linotype" w:cs="Arial"/>
          <w:lang w:val="es-MX"/>
        </w:rPr>
        <w:t>8</w:t>
      </w:r>
      <w:r w:rsidR="00A24DF2">
        <w:rPr>
          <w:rFonts w:ascii="Palatino Linotype" w:hAnsi="Palatino Linotype" w:cs="Arial"/>
          <w:lang w:val="es-MX"/>
        </w:rPr>
        <w:t>, fech</w:t>
      </w:r>
      <w:r w:rsidR="00697241">
        <w:rPr>
          <w:rFonts w:ascii="Palatino Linotype" w:hAnsi="Palatino Linotype" w:cs="Arial"/>
          <w:lang w:val="es-MX"/>
        </w:rPr>
        <w:t>a en que se creó jurídicamente el</w:t>
      </w:r>
      <w:r w:rsidR="00A24DF2">
        <w:rPr>
          <w:rFonts w:ascii="Palatino Linotype" w:hAnsi="Palatino Linotype" w:cs="Arial"/>
          <w:lang w:val="es-MX"/>
        </w:rPr>
        <w:t xml:space="preserve"> área competente dentro del Sujeto Obligado </w:t>
      </w:r>
      <w:r w:rsidR="00697241">
        <w:rPr>
          <w:rFonts w:ascii="Palatino Linotype" w:hAnsi="Palatino Linotype" w:cs="Arial"/>
          <w:lang w:val="es-MX"/>
        </w:rPr>
        <w:t>pues es a la que le corresponde</w:t>
      </w:r>
      <w:r w:rsidR="00A24DF2">
        <w:rPr>
          <w:rFonts w:ascii="Palatino Linotype" w:hAnsi="Palatino Linotype" w:cs="Arial"/>
          <w:lang w:val="es-MX"/>
        </w:rPr>
        <w:t xml:space="preserve"> </w:t>
      </w:r>
      <w:r w:rsidR="00DB7D85">
        <w:rPr>
          <w:rFonts w:ascii="Palatino Linotype" w:hAnsi="Palatino Linotype" w:cs="Arial"/>
          <w:lang w:val="es-MX"/>
        </w:rPr>
        <w:t>genera</w:t>
      </w:r>
      <w:r w:rsidR="00697241">
        <w:rPr>
          <w:rFonts w:ascii="Palatino Linotype" w:hAnsi="Palatino Linotype" w:cs="Arial"/>
          <w:lang w:val="es-MX"/>
        </w:rPr>
        <w:t>r</w:t>
      </w:r>
      <w:r w:rsidR="00DB7D85">
        <w:rPr>
          <w:rFonts w:ascii="Palatino Linotype" w:hAnsi="Palatino Linotype" w:cs="Arial"/>
          <w:lang w:val="es-MX"/>
        </w:rPr>
        <w:t>, posee</w:t>
      </w:r>
      <w:r w:rsidR="00697241">
        <w:rPr>
          <w:rFonts w:ascii="Palatino Linotype" w:hAnsi="Palatino Linotype" w:cs="Arial"/>
          <w:lang w:val="es-MX"/>
        </w:rPr>
        <w:t>r</w:t>
      </w:r>
      <w:r w:rsidR="00DB7D85">
        <w:rPr>
          <w:rFonts w:ascii="Palatino Linotype" w:hAnsi="Palatino Linotype" w:cs="Arial"/>
          <w:lang w:val="es-MX"/>
        </w:rPr>
        <w:t xml:space="preserve"> o administra</w:t>
      </w:r>
      <w:r w:rsidR="00697241">
        <w:rPr>
          <w:rFonts w:ascii="Palatino Linotype" w:hAnsi="Palatino Linotype" w:cs="Arial"/>
          <w:lang w:val="es-MX"/>
        </w:rPr>
        <w:t>r</w:t>
      </w:r>
      <w:r w:rsidR="00DB7D85">
        <w:rPr>
          <w:rFonts w:ascii="Palatino Linotype" w:hAnsi="Palatino Linotype" w:cs="Arial"/>
          <w:lang w:val="es-MX"/>
        </w:rPr>
        <w:t xml:space="preserve"> la información requerida por el particular. </w:t>
      </w:r>
    </w:p>
    <w:p w:rsidR="009E22D2" w:rsidRDefault="00BE207C" w:rsidP="009E22D2">
      <w:pPr>
        <w:spacing w:before="100" w:beforeAutospacing="1" w:after="100" w:afterAutospacing="1" w:line="360" w:lineRule="auto"/>
        <w:jc w:val="both"/>
        <w:rPr>
          <w:rFonts w:ascii="Palatino Linotype" w:hAnsi="Palatino Linotype"/>
          <w:lang w:val="es-MX"/>
        </w:rPr>
      </w:pPr>
      <w:r>
        <w:rPr>
          <w:rFonts w:ascii="Palatino Linotype" w:hAnsi="Palatino Linotype" w:cs="Arial"/>
          <w:lang w:val="es-MX"/>
        </w:rPr>
        <w:t>Lo anterior es así,</w:t>
      </w:r>
      <w:r w:rsidR="00DB7D85">
        <w:rPr>
          <w:rFonts w:ascii="Palatino Linotype" w:hAnsi="Palatino Linotype" w:cs="Arial"/>
          <w:lang w:val="es-MX"/>
        </w:rPr>
        <w:t xml:space="preserve"> ya que el</w:t>
      </w:r>
      <w:r w:rsidR="00AF22AF">
        <w:rPr>
          <w:rFonts w:ascii="Palatino Linotype" w:hAnsi="Palatino Linotype" w:cs="Arial"/>
          <w:lang w:val="es-MX"/>
        </w:rPr>
        <w:t xml:space="preserve"> particular no precisó</w:t>
      </w:r>
      <w:r w:rsidR="009E22D2">
        <w:rPr>
          <w:rFonts w:ascii="Palatino Linotype" w:hAnsi="Palatino Linotype" w:cs="Arial"/>
          <w:lang w:val="es-MX"/>
        </w:rPr>
        <w:t xml:space="preserve"> en su solicitud de información la temporalidad respecto de la cual requería la in</w:t>
      </w:r>
      <w:r>
        <w:rPr>
          <w:rFonts w:ascii="Palatino Linotype" w:hAnsi="Palatino Linotype" w:cs="Arial"/>
          <w:lang w:val="es-MX"/>
        </w:rPr>
        <w:t>f</w:t>
      </w:r>
      <w:r w:rsidR="00DB7D85">
        <w:rPr>
          <w:rFonts w:ascii="Palatino Linotype" w:hAnsi="Palatino Linotype" w:cs="Arial"/>
          <w:lang w:val="es-MX"/>
        </w:rPr>
        <w:t>ormación; por lo que, si bien el</w:t>
      </w:r>
      <w:r w:rsidR="009E22D2">
        <w:rPr>
          <w:rFonts w:ascii="Palatino Linotype" w:hAnsi="Palatino Linotype" w:cs="Arial"/>
          <w:lang w:val="es-MX"/>
        </w:rPr>
        <w:t xml:space="preserve"> hoy </w:t>
      </w:r>
      <w:r w:rsidR="009E22D2">
        <w:rPr>
          <w:rFonts w:ascii="Palatino Linotype" w:hAnsi="Palatino Linotype" w:cs="Arial"/>
          <w:b/>
          <w:lang w:val="es-MX"/>
        </w:rPr>
        <w:t xml:space="preserve">RECURRENTE </w:t>
      </w:r>
      <w:r w:rsidR="009E22D2">
        <w:rPr>
          <w:rFonts w:ascii="Palatino Linotype" w:hAnsi="Palatino Linotype"/>
        </w:rPr>
        <w:t>manifestó que requería el “</w:t>
      </w:r>
      <w:r w:rsidR="00697241">
        <w:rPr>
          <w:rFonts w:ascii="Palatino Linotype" w:hAnsi="Palatino Linotype"/>
        </w:rPr>
        <w:t>Histórico</w:t>
      </w:r>
      <w:r w:rsidR="009E22D2">
        <w:rPr>
          <w:rFonts w:ascii="Palatino Linotype" w:hAnsi="Palatino Linotype"/>
        </w:rPr>
        <w:t>”, es decir, ante la falta de certez</w:t>
      </w:r>
      <w:r>
        <w:rPr>
          <w:rFonts w:ascii="Palatino Linotype" w:hAnsi="Palatino Linotype"/>
        </w:rPr>
        <w:t xml:space="preserve">a jurídica de a qué se refería </w:t>
      </w:r>
      <w:r w:rsidR="00DB7D85">
        <w:rPr>
          <w:rFonts w:ascii="Palatino Linotype" w:hAnsi="Palatino Linotype"/>
        </w:rPr>
        <w:t>e</w:t>
      </w:r>
      <w:r>
        <w:rPr>
          <w:rFonts w:ascii="Palatino Linotype" w:hAnsi="Palatino Linotype"/>
        </w:rPr>
        <w:t>l</w:t>
      </w:r>
      <w:r w:rsidR="009E22D2">
        <w:rPr>
          <w:rFonts w:ascii="Palatino Linotype" w:hAnsi="Palatino Linotype"/>
        </w:rPr>
        <w:t xml:space="preserve"> solicitante con dicha palabra, es que la Ponencia </w:t>
      </w:r>
      <w:proofErr w:type="spellStart"/>
      <w:r w:rsidR="009E22D2">
        <w:rPr>
          <w:rFonts w:ascii="Palatino Linotype" w:hAnsi="Palatino Linotype"/>
        </w:rPr>
        <w:t>Resolutora</w:t>
      </w:r>
      <w:proofErr w:type="spellEnd"/>
      <w:r w:rsidR="009E22D2">
        <w:rPr>
          <w:rFonts w:ascii="Palatino Linotype" w:hAnsi="Palatino Linotype"/>
        </w:rPr>
        <w:t xml:space="preserve"> debió advertir en el estudio que la Real Academia Española al respecto puntualiza lo siguiente:</w:t>
      </w:r>
    </w:p>
    <w:p w:rsidR="009E22D2" w:rsidRDefault="009E22D2" w:rsidP="00DB7D85">
      <w:pPr>
        <w:pStyle w:val="j"/>
        <w:shd w:val="clear" w:color="auto" w:fill="FFFFFF"/>
        <w:spacing w:beforeAutospacing="0" w:afterAutospacing="0"/>
        <w:ind w:left="851" w:right="902"/>
        <w:jc w:val="both"/>
        <w:textAlignment w:val="baseline"/>
        <w:rPr>
          <w:rFonts w:ascii="Palatino Linotype" w:eastAsia="Arial Unicode MS" w:hAnsi="Palatino Linotype" w:cs="Arial Unicode MS"/>
          <w:b/>
          <w:i/>
          <w:color w:val="000000"/>
          <w:spacing w:val="4"/>
          <w:sz w:val="22"/>
          <w:szCs w:val="22"/>
        </w:rPr>
      </w:pPr>
      <w:r>
        <w:rPr>
          <w:rStyle w:val="nacep"/>
          <w:rFonts w:ascii="Palatino Linotype" w:eastAsia="Arial Unicode MS" w:hAnsi="Palatino Linotype" w:cs="Arial Unicode MS"/>
          <w:b/>
          <w:bCs/>
          <w:i/>
          <w:color w:val="000000"/>
          <w:spacing w:val="4"/>
          <w:sz w:val="22"/>
          <w:szCs w:val="22"/>
          <w:bdr w:val="none" w:sz="0" w:space="0" w:color="auto" w:frame="1"/>
          <w:shd w:val="clear" w:color="auto" w:fill="FFFFFF"/>
        </w:rPr>
        <w:t>1. </w:t>
      </w:r>
      <w:proofErr w:type="spellStart"/>
      <w:r>
        <w:rPr>
          <w:rFonts w:ascii="Palatino Linotype" w:eastAsia="Arial Unicode MS" w:hAnsi="Palatino Linotype" w:cs="Arial Unicode MS"/>
          <w:i/>
          <w:color w:val="000000"/>
          <w:spacing w:val="4"/>
          <w:sz w:val="22"/>
          <w:szCs w:val="22"/>
        </w:rPr>
        <w:t>adj</w:t>
      </w:r>
      <w:proofErr w:type="spellEnd"/>
      <w:r>
        <w:rPr>
          <w:rFonts w:ascii="Palatino Linotype" w:eastAsia="Arial Unicode MS" w:hAnsi="Palatino Linotype" w:cs="Arial Unicode MS"/>
          <w:i/>
          <w:color w:val="000000"/>
          <w:spacing w:val="4"/>
          <w:sz w:val="22"/>
          <w:szCs w:val="22"/>
        </w:rPr>
        <w:t>. </w:t>
      </w:r>
      <w:r>
        <w:rPr>
          <w:rFonts w:ascii="Palatino Linotype" w:eastAsia="Arial Unicode MS" w:hAnsi="Palatino Linotype" w:cs="Arial Unicode MS"/>
          <w:b/>
          <w:i/>
          <w:color w:val="000000"/>
          <w:spacing w:val="4"/>
          <w:sz w:val="22"/>
          <w:szCs w:val="22"/>
        </w:rPr>
        <w:t>Perteneciente o relativo a la historia.</w:t>
      </w:r>
    </w:p>
    <w:p w:rsidR="009E22D2" w:rsidRDefault="009E22D2" w:rsidP="00DB7D85">
      <w:pPr>
        <w:pStyle w:val="j"/>
        <w:shd w:val="clear" w:color="auto" w:fill="FFFFFF"/>
        <w:spacing w:beforeAutospacing="0" w:afterAutospacing="0"/>
        <w:ind w:left="851" w:right="902"/>
        <w:jc w:val="both"/>
        <w:textAlignment w:val="baseline"/>
        <w:rPr>
          <w:rFonts w:ascii="Palatino Linotype" w:eastAsia="Arial Unicode MS" w:hAnsi="Palatino Linotype" w:cs="Arial Unicode MS"/>
          <w:i/>
          <w:color w:val="000000"/>
          <w:spacing w:val="4"/>
          <w:sz w:val="22"/>
          <w:szCs w:val="22"/>
        </w:rPr>
      </w:pPr>
      <w:r>
        <w:rPr>
          <w:rStyle w:val="nacep"/>
          <w:rFonts w:ascii="Palatino Linotype" w:eastAsia="Arial Unicode MS" w:hAnsi="Palatino Linotype" w:cs="Arial Unicode MS"/>
          <w:b/>
          <w:bCs/>
          <w:i/>
          <w:color w:val="000000"/>
          <w:spacing w:val="4"/>
          <w:sz w:val="22"/>
          <w:szCs w:val="22"/>
          <w:bdr w:val="none" w:sz="0" w:space="0" w:color="auto" w:frame="1"/>
          <w:shd w:val="clear" w:color="auto" w:fill="FFFFFF"/>
        </w:rPr>
        <w:t>2. </w:t>
      </w:r>
      <w:r>
        <w:rPr>
          <w:rFonts w:ascii="Palatino Linotype" w:eastAsia="Arial Unicode MS" w:hAnsi="Palatino Linotype" w:cs="Arial Unicode MS"/>
          <w:i/>
          <w:color w:val="000000"/>
          <w:spacing w:val="4"/>
          <w:sz w:val="22"/>
          <w:szCs w:val="22"/>
        </w:rPr>
        <w:t>adj. Dicho de una persona o de una cosa: Que ha tenido existencia real y</w:t>
      </w:r>
      <w:r w:rsidR="00DB7D85">
        <w:rPr>
          <w:rFonts w:ascii="Palatino Linotype" w:eastAsia="Arial Unicode MS" w:hAnsi="Palatino Linotype" w:cs="Arial Unicode MS"/>
          <w:i/>
          <w:color w:val="000000"/>
          <w:spacing w:val="4"/>
          <w:sz w:val="22"/>
          <w:szCs w:val="22"/>
        </w:rPr>
        <w:t xml:space="preserve"> </w:t>
      </w:r>
      <w:r>
        <w:rPr>
          <w:rFonts w:ascii="Palatino Linotype" w:eastAsia="Arial Unicode MS" w:hAnsi="Palatino Linotype" w:cs="Arial Unicode MS"/>
          <w:i/>
          <w:color w:val="000000"/>
          <w:spacing w:val="4"/>
          <w:sz w:val="22"/>
          <w:szCs w:val="22"/>
        </w:rPr>
        <w:t>comprobada.</w:t>
      </w:r>
    </w:p>
    <w:p w:rsidR="009E22D2" w:rsidRDefault="009E22D2" w:rsidP="00DB7D85">
      <w:pPr>
        <w:pStyle w:val="j"/>
        <w:shd w:val="clear" w:color="auto" w:fill="FFFFFF"/>
        <w:spacing w:beforeAutospacing="0" w:afterAutospacing="0"/>
        <w:ind w:left="851" w:right="902"/>
        <w:jc w:val="both"/>
        <w:textAlignment w:val="baseline"/>
        <w:rPr>
          <w:rFonts w:ascii="Palatino Linotype" w:eastAsia="Arial Unicode MS" w:hAnsi="Palatino Linotype" w:cs="Arial Unicode MS"/>
          <w:i/>
          <w:color w:val="000000"/>
          <w:spacing w:val="4"/>
          <w:sz w:val="22"/>
          <w:szCs w:val="22"/>
        </w:rPr>
      </w:pPr>
      <w:r>
        <w:rPr>
          <w:rStyle w:val="nacep"/>
          <w:rFonts w:ascii="Palatino Linotype" w:eastAsia="Arial Unicode MS" w:hAnsi="Palatino Linotype" w:cs="Arial Unicode MS"/>
          <w:b/>
          <w:bCs/>
          <w:i/>
          <w:color w:val="000000"/>
          <w:spacing w:val="4"/>
          <w:sz w:val="22"/>
          <w:szCs w:val="22"/>
          <w:bdr w:val="none" w:sz="0" w:space="0" w:color="auto" w:frame="1"/>
          <w:shd w:val="clear" w:color="auto" w:fill="FFFFFF"/>
        </w:rPr>
        <w:t>3. </w:t>
      </w:r>
      <w:proofErr w:type="spellStart"/>
      <w:r>
        <w:rPr>
          <w:rFonts w:ascii="Palatino Linotype" w:eastAsia="Arial Unicode MS" w:hAnsi="Palatino Linotype" w:cs="Arial Unicode MS"/>
          <w:i/>
          <w:color w:val="000000"/>
          <w:spacing w:val="4"/>
          <w:sz w:val="22"/>
          <w:szCs w:val="22"/>
        </w:rPr>
        <w:t>adj</w:t>
      </w:r>
      <w:proofErr w:type="spellEnd"/>
      <w:r>
        <w:rPr>
          <w:rFonts w:ascii="Palatino Linotype" w:eastAsia="Arial Unicode MS" w:hAnsi="Palatino Linotype" w:cs="Arial Unicode MS"/>
          <w:i/>
          <w:color w:val="000000"/>
          <w:spacing w:val="4"/>
          <w:sz w:val="22"/>
          <w:szCs w:val="22"/>
        </w:rPr>
        <w:t>. Digno de pasar a la historia.</w:t>
      </w:r>
    </w:p>
    <w:p w:rsidR="00DB7D85" w:rsidRDefault="009E22D2" w:rsidP="00DB7D85">
      <w:pPr>
        <w:pStyle w:val="j"/>
        <w:shd w:val="clear" w:color="auto" w:fill="FFFFFF"/>
        <w:spacing w:beforeAutospacing="0" w:afterAutospacing="0"/>
        <w:ind w:left="851" w:right="902"/>
        <w:jc w:val="both"/>
        <w:textAlignment w:val="baseline"/>
        <w:rPr>
          <w:rFonts w:ascii="Palatino Linotype" w:eastAsia="Arial Unicode MS" w:hAnsi="Palatino Linotype" w:cs="Arial Unicode MS"/>
          <w:i/>
          <w:color w:val="000000"/>
          <w:spacing w:val="4"/>
          <w:sz w:val="22"/>
          <w:szCs w:val="22"/>
        </w:rPr>
      </w:pPr>
      <w:r>
        <w:rPr>
          <w:rStyle w:val="nacep"/>
          <w:rFonts w:ascii="Palatino Linotype" w:eastAsia="Arial Unicode MS" w:hAnsi="Palatino Linotype" w:cs="Arial Unicode MS"/>
          <w:b/>
          <w:bCs/>
          <w:i/>
          <w:color w:val="000000"/>
          <w:spacing w:val="4"/>
          <w:sz w:val="22"/>
          <w:szCs w:val="22"/>
          <w:bdr w:val="none" w:sz="0" w:space="0" w:color="auto" w:frame="1"/>
          <w:shd w:val="clear" w:color="auto" w:fill="FFFFFF"/>
        </w:rPr>
        <w:t>4. </w:t>
      </w:r>
      <w:r>
        <w:rPr>
          <w:rFonts w:ascii="Palatino Linotype" w:eastAsia="Arial Unicode MS" w:hAnsi="Palatino Linotype" w:cs="Arial Unicode MS"/>
          <w:i/>
          <w:color w:val="000000"/>
          <w:spacing w:val="4"/>
          <w:sz w:val="22"/>
          <w:szCs w:val="22"/>
        </w:rPr>
        <w:t>adj. Dicho de una obra literaria o cinematográfica: De argumento alusivo a</w:t>
      </w:r>
    </w:p>
    <w:p w:rsidR="009E22D2" w:rsidRDefault="009E22D2" w:rsidP="00DB7D85">
      <w:pPr>
        <w:pStyle w:val="j"/>
        <w:shd w:val="clear" w:color="auto" w:fill="FFFFFF"/>
        <w:spacing w:beforeAutospacing="0" w:afterAutospacing="0"/>
        <w:ind w:left="851" w:right="902"/>
        <w:jc w:val="both"/>
        <w:textAlignment w:val="baseline"/>
        <w:rPr>
          <w:rFonts w:ascii="Palatino Linotype" w:eastAsia="Arial Unicode MS" w:hAnsi="Palatino Linotype" w:cs="Arial Unicode MS"/>
          <w:i/>
          <w:color w:val="000000"/>
          <w:spacing w:val="4"/>
          <w:sz w:val="22"/>
          <w:szCs w:val="22"/>
        </w:rPr>
      </w:pPr>
      <w:proofErr w:type="gramStart"/>
      <w:r>
        <w:rPr>
          <w:rFonts w:ascii="Palatino Linotype" w:eastAsia="Arial Unicode MS" w:hAnsi="Palatino Linotype" w:cs="Arial Unicode MS"/>
          <w:i/>
          <w:color w:val="000000"/>
          <w:spacing w:val="4"/>
          <w:sz w:val="22"/>
          <w:szCs w:val="22"/>
        </w:rPr>
        <w:t>sucesos</w:t>
      </w:r>
      <w:proofErr w:type="gramEnd"/>
      <w:r>
        <w:rPr>
          <w:rFonts w:ascii="Palatino Linotype" w:eastAsia="Arial Unicode MS" w:hAnsi="Palatino Linotype" w:cs="Arial Unicode MS"/>
          <w:i/>
          <w:color w:val="000000"/>
          <w:spacing w:val="4"/>
          <w:sz w:val="22"/>
          <w:szCs w:val="22"/>
        </w:rPr>
        <w:t> y personajes </w:t>
      </w:r>
      <w:r>
        <w:rPr>
          <w:rStyle w:val="u"/>
          <w:rFonts w:ascii="Palatino Linotype" w:eastAsia="Arial Unicode MS" w:hAnsi="Palatino Linotype" w:cs="Arial Unicode MS"/>
          <w:b/>
          <w:bCs/>
          <w:i/>
          <w:spacing w:val="4"/>
          <w:sz w:val="22"/>
          <w:szCs w:val="22"/>
          <w:bdr w:val="none" w:sz="0" w:space="0" w:color="auto" w:frame="1"/>
          <w:shd w:val="clear" w:color="auto" w:fill="FFFFFF"/>
        </w:rPr>
        <w:t>históricos</w:t>
      </w:r>
      <w:r>
        <w:rPr>
          <w:rFonts w:ascii="Palatino Linotype" w:eastAsia="Arial Unicode MS" w:hAnsi="Palatino Linotype" w:cs="Arial Unicode MS"/>
          <w:i/>
          <w:spacing w:val="4"/>
          <w:sz w:val="22"/>
          <w:szCs w:val="22"/>
        </w:rPr>
        <w:t> </w:t>
      </w:r>
      <w:r>
        <w:rPr>
          <w:rFonts w:ascii="Palatino Linotype" w:eastAsia="Arial Unicode MS" w:hAnsi="Palatino Linotype" w:cs="Arial Unicode MS"/>
          <w:i/>
          <w:color w:val="000000"/>
          <w:spacing w:val="4"/>
          <w:sz w:val="22"/>
          <w:szCs w:val="22"/>
        </w:rPr>
        <w:t>sometidos a fabulación o recreación artísticas.</w:t>
      </w:r>
    </w:p>
    <w:p w:rsidR="009E22D2" w:rsidRDefault="009E22D2" w:rsidP="00F31FFD">
      <w:pPr>
        <w:spacing w:before="100" w:beforeAutospacing="1" w:after="100" w:afterAutospacing="1" w:line="360" w:lineRule="auto"/>
        <w:jc w:val="both"/>
        <w:rPr>
          <w:rFonts w:ascii="Palatino Linotype" w:hAnsi="Palatino Linotype"/>
        </w:rPr>
      </w:pPr>
      <w:r>
        <w:rPr>
          <w:rFonts w:ascii="Palatino Linotype" w:hAnsi="Palatino Linotype"/>
        </w:rPr>
        <w:lastRenderedPageBreak/>
        <w:t xml:space="preserve">En ese sentido, es que la suscrita considera </w:t>
      </w:r>
      <w:r w:rsidR="0012464B">
        <w:rPr>
          <w:rFonts w:ascii="Palatino Linotype" w:hAnsi="Palatino Linotype"/>
        </w:rPr>
        <w:t xml:space="preserve">que la Ponencia </w:t>
      </w:r>
      <w:proofErr w:type="spellStart"/>
      <w:r w:rsidR="0012464B">
        <w:rPr>
          <w:rFonts w:ascii="Palatino Linotype" w:hAnsi="Palatino Linotype"/>
        </w:rPr>
        <w:t>Resolutora</w:t>
      </w:r>
      <w:proofErr w:type="spellEnd"/>
      <w:r w:rsidR="0012464B">
        <w:rPr>
          <w:rFonts w:ascii="Palatino Linotype" w:hAnsi="Palatino Linotype"/>
        </w:rPr>
        <w:t xml:space="preserve"> al </w:t>
      </w:r>
      <w:r>
        <w:rPr>
          <w:rFonts w:ascii="Palatino Linotype" w:hAnsi="Palatino Linotype"/>
        </w:rPr>
        <w:t xml:space="preserve">suplir </w:t>
      </w:r>
      <w:r>
        <w:rPr>
          <w:rFonts w:ascii="Palatino Linotype" w:hAnsi="Palatino Linotype" w:cs="Arial"/>
          <w:lang w:eastAsia="es-MX"/>
        </w:rPr>
        <w:t xml:space="preserve">la deficiencia en la solicitud de información de conformidad con lo que establecen los artículos 13 y 181 párrafo cuarto de la Ley de Transparencia y Acceso a la Información Pública del Estado de México y Municipios, </w:t>
      </w:r>
      <w:r>
        <w:rPr>
          <w:rFonts w:ascii="Palatino Linotype" w:hAnsi="Palatino Linotype"/>
        </w:rPr>
        <w:t xml:space="preserve">resultando importante precisar que el Decreto de creación del </w:t>
      </w:r>
      <w:r>
        <w:rPr>
          <w:rFonts w:ascii="Palatino Linotype" w:hAnsi="Palatino Linotype"/>
          <w:b/>
        </w:rPr>
        <w:t xml:space="preserve">SUJETO OBLIGADO </w:t>
      </w:r>
      <w:r>
        <w:rPr>
          <w:rFonts w:ascii="Palatino Linotype" w:hAnsi="Palatino Linotype"/>
        </w:rPr>
        <w:t xml:space="preserve">fue publicado en fecha </w:t>
      </w:r>
      <w:r>
        <w:rPr>
          <w:rFonts w:ascii="Palatino Linotype" w:hAnsi="Palatino Linotype"/>
          <w:b/>
        </w:rPr>
        <w:t>13 de noviembre de 2006,</w:t>
      </w:r>
      <w:r>
        <w:rPr>
          <w:rFonts w:ascii="Palatino Linotype" w:hAnsi="Palatino Linotype"/>
        </w:rPr>
        <w:t xml:space="preserve"> en el Periódico Oficial “Gaceta del Gobierno”; sin embargo, el </w:t>
      </w:r>
      <w:r w:rsidR="004E4E68">
        <w:rPr>
          <w:rFonts w:ascii="Palatino Linotype" w:hAnsi="Palatino Linotype"/>
        </w:rPr>
        <w:t xml:space="preserve">Reglamento Interior de la Universidad Politécnica del Valle de Toluca </w:t>
      </w:r>
      <w:r>
        <w:rPr>
          <w:rFonts w:ascii="Palatino Linotype" w:hAnsi="Palatino Linotype"/>
        </w:rPr>
        <w:t xml:space="preserve">publicado en </w:t>
      </w:r>
      <w:r w:rsidR="00F201C7" w:rsidRPr="00F31FFD">
        <w:rPr>
          <w:rFonts w:ascii="Palatino Linotype" w:hAnsi="Palatino Linotype"/>
          <w:b/>
        </w:rPr>
        <w:t xml:space="preserve">28 de octubre de </w:t>
      </w:r>
      <w:r w:rsidR="00F31FFD" w:rsidRPr="00F31FFD">
        <w:rPr>
          <w:rFonts w:ascii="Palatino Linotype" w:hAnsi="Palatino Linotype"/>
          <w:b/>
        </w:rPr>
        <w:t>2008</w:t>
      </w:r>
      <w:r>
        <w:rPr>
          <w:rFonts w:ascii="Palatino Linotype" w:hAnsi="Palatino Linotype"/>
        </w:rPr>
        <w:t>,</w:t>
      </w:r>
      <w:r w:rsidR="00F31FFD" w:rsidRPr="00F31FFD">
        <w:t xml:space="preserve"> </w:t>
      </w:r>
      <w:r w:rsidR="00F31FFD">
        <w:rPr>
          <w:rFonts w:ascii="Palatino Linotype" w:hAnsi="Palatino Linotype"/>
        </w:rPr>
        <w:t>y</w:t>
      </w:r>
      <w:r w:rsidR="00F31FFD" w:rsidRPr="00F31FFD">
        <w:rPr>
          <w:rFonts w:ascii="Palatino Linotype" w:hAnsi="Palatino Linotype"/>
        </w:rPr>
        <w:t xml:space="preserve"> en el que se señala que entrará en vigor al día siguiente </w:t>
      </w:r>
      <w:r w:rsidR="00F31FFD">
        <w:rPr>
          <w:rFonts w:ascii="Palatino Linotype" w:hAnsi="Palatino Linotype"/>
        </w:rPr>
        <w:t>de su publicación, fecha en la que se establece formalmente una estructura y organización interna de</w:t>
      </w:r>
      <w:r>
        <w:rPr>
          <w:rFonts w:ascii="Palatino Linotype" w:hAnsi="Palatino Linotype"/>
        </w:rPr>
        <w:t xml:space="preserve"> </w:t>
      </w:r>
      <w:r w:rsidR="00BE207C">
        <w:rPr>
          <w:rFonts w:ascii="Palatino Linotype" w:hAnsi="Palatino Linotype"/>
        </w:rPr>
        <w:t xml:space="preserve">la </w:t>
      </w:r>
      <w:r>
        <w:rPr>
          <w:rFonts w:ascii="Palatino Linotype" w:hAnsi="Palatino Linotype"/>
          <w:b/>
        </w:rPr>
        <w:t>Universidad Politécnica del Valle de Toluca</w:t>
      </w:r>
      <w:r w:rsidR="00F31FFD">
        <w:rPr>
          <w:rFonts w:ascii="Palatino Linotype" w:hAnsi="Palatino Linotype"/>
          <w:b/>
        </w:rPr>
        <w:t xml:space="preserve"> </w:t>
      </w:r>
      <w:r w:rsidR="00F31FFD">
        <w:rPr>
          <w:rFonts w:ascii="Palatino Linotype" w:hAnsi="Palatino Linotype"/>
        </w:rPr>
        <w:t xml:space="preserve">misma en la que a la </w:t>
      </w:r>
      <w:r w:rsidR="00F31FFD" w:rsidRPr="00F31FFD">
        <w:rPr>
          <w:rFonts w:ascii="Palatino Linotype" w:hAnsi="Palatino Linotype"/>
          <w:b/>
        </w:rPr>
        <w:t>Dirección de Administración y Finanzas</w:t>
      </w:r>
      <w:r w:rsidR="00F31FFD">
        <w:rPr>
          <w:rFonts w:ascii="Palatino Linotype" w:hAnsi="Palatino Linotype"/>
        </w:rPr>
        <w:t xml:space="preserve"> se le faculta para determinar y controlar las medidas de seguridad y vigilancia de las instalaciones y bienes de la Universidad, así como lo faculta para </w:t>
      </w:r>
      <w:r w:rsidR="00F31FFD" w:rsidRPr="00F31FFD">
        <w:rPr>
          <w:rFonts w:ascii="Palatino Linotype" w:hAnsi="Palatino Linotype"/>
        </w:rPr>
        <w:t>Coordinar las acciones de pro</w:t>
      </w:r>
      <w:r w:rsidR="00F31FFD">
        <w:rPr>
          <w:rFonts w:ascii="Palatino Linotype" w:hAnsi="Palatino Linotype"/>
        </w:rPr>
        <w:t>tección civil de la Universidad</w:t>
      </w:r>
      <w:r w:rsidR="00F31FFD" w:rsidRPr="00F31FFD">
        <w:rPr>
          <w:rFonts w:ascii="Palatino Linotype" w:hAnsi="Palatino Linotype"/>
        </w:rPr>
        <w:t xml:space="preserve"> con base en las normas y</w:t>
      </w:r>
      <w:r w:rsidR="00F31FFD">
        <w:rPr>
          <w:rFonts w:ascii="Palatino Linotype" w:hAnsi="Palatino Linotype"/>
        </w:rPr>
        <w:t xml:space="preserve"> </w:t>
      </w:r>
      <w:r w:rsidR="00F31FFD" w:rsidRPr="00F31FFD">
        <w:rPr>
          <w:rFonts w:ascii="Palatino Linotype" w:hAnsi="Palatino Linotype"/>
        </w:rPr>
        <w:t>políticas aplicables</w:t>
      </w:r>
      <w:r>
        <w:rPr>
          <w:rFonts w:ascii="Palatino Linotype" w:hAnsi="Palatino Linotype"/>
        </w:rPr>
        <w:t xml:space="preserve">, por lo que la entrega de información debe comprender desde dicha fecha y </w:t>
      </w:r>
      <w:r w:rsidR="00BE207C">
        <w:rPr>
          <w:rFonts w:ascii="Palatino Linotype" w:hAnsi="Palatino Linotype"/>
        </w:rPr>
        <w:t xml:space="preserve">a </w:t>
      </w:r>
      <w:r>
        <w:rPr>
          <w:rFonts w:ascii="Palatino Linotype" w:hAnsi="Palatino Linotype"/>
        </w:rPr>
        <w:t>la de presentación de</w:t>
      </w:r>
      <w:r w:rsidR="00BE207C">
        <w:rPr>
          <w:rFonts w:ascii="Palatino Linotype" w:hAnsi="Palatino Linotype"/>
        </w:rPr>
        <w:t xml:space="preserve"> la </w:t>
      </w:r>
      <w:r>
        <w:rPr>
          <w:rFonts w:ascii="Palatino Linotype" w:hAnsi="Palatino Linotype"/>
        </w:rPr>
        <w:t>solicitud de información, es decir</w:t>
      </w:r>
      <w:r w:rsidR="0058183B">
        <w:rPr>
          <w:rFonts w:ascii="Palatino Linotype" w:hAnsi="Palatino Linotype"/>
        </w:rPr>
        <w:t>, al 22</w:t>
      </w:r>
      <w:r w:rsidR="00BE207C">
        <w:rPr>
          <w:rFonts w:ascii="Palatino Linotype" w:hAnsi="Palatino Linotype"/>
        </w:rPr>
        <w:t xml:space="preserve"> de mayo de 2018;</w:t>
      </w:r>
      <w:r>
        <w:rPr>
          <w:rFonts w:ascii="Palatino Linotype" w:hAnsi="Palatino Linotype"/>
        </w:rPr>
        <w:t xml:space="preserve"> sirven de sustento</w:t>
      </w:r>
      <w:r w:rsidR="00BE207C">
        <w:rPr>
          <w:rFonts w:ascii="Palatino Linotype" w:hAnsi="Palatino Linotype"/>
        </w:rPr>
        <w:t>,</w:t>
      </w:r>
      <w:r>
        <w:rPr>
          <w:rFonts w:ascii="Palatino Linotype" w:hAnsi="Palatino Linotype"/>
        </w:rPr>
        <w:t xml:space="preserve"> las siguientes imágenes ilustrativas:</w:t>
      </w:r>
    </w:p>
    <w:p w:rsidR="0058183B" w:rsidRDefault="00EF7EFF" w:rsidP="009E22D2">
      <w:pPr>
        <w:spacing w:before="100" w:beforeAutospacing="1" w:after="100" w:afterAutospacing="1" w:line="360" w:lineRule="auto"/>
        <w:jc w:val="center"/>
        <w:rPr>
          <w:rFonts w:ascii="Palatino Linotype" w:hAnsi="Palatino Linotype"/>
        </w:rPr>
      </w:pPr>
      <w:r>
        <w:rPr>
          <w:noProof/>
          <w:lang w:val="es-MX" w:eastAsia="es-MX"/>
        </w:rPr>
        <mc:AlternateContent>
          <mc:Choice Requires="wps">
            <w:drawing>
              <wp:anchor distT="0" distB="0" distL="114300" distR="114300" simplePos="0" relativeHeight="251659264" behindDoc="0" locked="0" layoutInCell="1" allowOverlap="1">
                <wp:simplePos x="0" y="0"/>
                <wp:positionH relativeFrom="column">
                  <wp:posOffset>139065</wp:posOffset>
                </wp:positionH>
                <wp:positionV relativeFrom="paragraph">
                  <wp:posOffset>1094741</wp:posOffset>
                </wp:positionV>
                <wp:extent cx="5553075" cy="209550"/>
                <wp:effectExtent l="19050" t="19050" r="28575" b="19050"/>
                <wp:wrapNone/>
                <wp:docPr id="7" name="Rectángulo 7"/>
                <wp:cNvGraphicFramePr/>
                <a:graphic xmlns:a="http://schemas.openxmlformats.org/drawingml/2006/main">
                  <a:graphicData uri="http://schemas.microsoft.com/office/word/2010/wordprocessingShape">
                    <wps:wsp>
                      <wps:cNvSpPr/>
                      <wps:spPr>
                        <a:xfrm>
                          <a:off x="0" y="0"/>
                          <a:ext cx="5553075" cy="2095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252AA9" id="Rectángulo 7" o:spid="_x0000_s1026" style="position:absolute;margin-left:10.95pt;margin-top:86.2pt;width:437.25pt;height:1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" filled="f" strokecolor="red" strokeweight="2.25pt"/>
            </w:pict>
          </mc:Fallback>
        </mc:AlternateContent>
      </w:r>
      <w:r w:rsidR="001540A6">
        <w:rPr>
          <w:noProof/>
          <w:lang w:val="es-MX" w:eastAsia="es-MX"/>
        </w:rPr>
        <w:drawing>
          <wp:inline distT="0" distB="0" distL="0" distR="0" wp14:anchorId="6530FD0C" wp14:editId="0ACF049E">
            <wp:extent cx="5610225" cy="19621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9570" t="40741" r="36564" b="37731"/>
                    <a:stretch/>
                  </pic:blipFill>
                  <pic:spPr bwMode="auto">
                    <a:xfrm>
                      <a:off x="0" y="0"/>
                      <a:ext cx="5610225" cy="1962150"/>
                    </a:xfrm>
                    <a:prstGeom prst="rect">
                      <a:avLst/>
                    </a:prstGeom>
                    <a:ln>
                      <a:noFill/>
                    </a:ln>
                    <a:extLst>
                      <a:ext uri="{53640926-AAD7-44D8-BBD7-CCE9431645EC}">
                        <a14:shadowObscured xmlns:a14="http://schemas.microsoft.com/office/drawing/2010/main"/>
                      </a:ext>
                    </a:extLst>
                  </pic:spPr>
                </pic:pic>
              </a:graphicData>
            </a:graphic>
          </wp:inline>
        </w:drawing>
      </w:r>
    </w:p>
    <w:p w:rsidR="0058183B" w:rsidRDefault="00697241" w:rsidP="009E22D2">
      <w:pPr>
        <w:spacing w:before="100" w:beforeAutospacing="1" w:after="100" w:afterAutospacing="1" w:line="360" w:lineRule="auto"/>
        <w:jc w:val="center"/>
        <w:rPr>
          <w:rFonts w:ascii="Palatino Linotype" w:hAnsi="Palatino Linotype"/>
        </w:rPr>
      </w:pPr>
      <w:r>
        <w:rPr>
          <w:noProof/>
          <w:lang w:val="es-MX" w:eastAsia="es-MX"/>
        </w:rPr>
        <w:lastRenderedPageBreak/>
        <mc:AlternateContent>
          <mc:Choice Requires="wps">
            <w:drawing>
              <wp:anchor distT="0" distB="0" distL="114300" distR="114300" simplePos="0" relativeHeight="251661312" behindDoc="0" locked="0" layoutInCell="1" allowOverlap="1">
                <wp:simplePos x="0" y="0"/>
                <wp:positionH relativeFrom="column">
                  <wp:posOffset>120015</wp:posOffset>
                </wp:positionH>
                <wp:positionV relativeFrom="paragraph">
                  <wp:posOffset>4827270</wp:posOffset>
                </wp:positionV>
                <wp:extent cx="4362450" cy="276225"/>
                <wp:effectExtent l="19050" t="19050" r="19050" b="28575"/>
                <wp:wrapNone/>
                <wp:docPr id="12" name="Rectángulo 12"/>
                <wp:cNvGraphicFramePr/>
                <a:graphic xmlns:a="http://schemas.openxmlformats.org/drawingml/2006/main">
                  <a:graphicData uri="http://schemas.microsoft.com/office/word/2010/wordprocessingShape">
                    <wps:wsp>
                      <wps:cNvSpPr/>
                      <wps:spPr>
                        <a:xfrm>
                          <a:off x="0" y="0"/>
                          <a:ext cx="4362450" cy="2762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8E64EE" id="Rectángulo 12" o:spid="_x0000_s1026" style="position:absolute;margin-left:9.45pt;margin-top:380.1pt;width:343.5pt;height:21.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" filled="f" strokecolor="red" strokeweight="2.25pt"/>
            </w:pict>
          </mc:Fallback>
        </mc:AlternateContent>
      </w:r>
      <w:r>
        <w:rPr>
          <w:noProof/>
          <w:lang w:val="es-MX" w:eastAsia="es-MX"/>
        </w:rPr>
        <mc:AlternateContent>
          <mc:Choice Requires="wps">
            <w:drawing>
              <wp:anchor distT="0" distB="0" distL="114300" distR="114300" simplePos="0" relativeHeight="251660288" behindDoc="0" locked="0" layoutInCell="1" allowOverlap="1">
                <wp:simplePos x="0" y="0"/>
                <wp:positionH relativeFrom="column">
                  <wp:posOffset>2882265</wp:posOffset>
                </wp:positionH>
                <wp:positionV relativeFrom="paragraph">
                  <wp:posOffset>1168400</wp:posOffset>
                </wp:positionV>
                <wp:extent cx="2762250" cy="781050"/>
                <wp:effectExtent l="0" t="0" r="19050" b="19050"/>
                <wp:wrapNone/>
                <wp:docPr id="8" name="Rectángulo 8"/>
                <wp:cNvGraphicFramePr/>
                <a:graphic xmlns:a="http://schemas.openxmlformats.org/drawingml/2006/main">
                  <a:graphicData uri="http://schemas.microsoft.com/office/word/2010/wordprocessingShape">
                    <wps:wsp>
                      <wps:cNvSpPr/>
                      <wps:spPr>
                        <a:xfrm>
                          <a:off x="0" y="0"/>
                          <a:ext cx="2762250" cy="7810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AAA2A8" id="Rectángulo 8" o:spid="_x0000_s1026" style="position:absolute;margin-left:226.95pt;margin-top:92pt;width:217.5pt;height:6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" filled="f" strokecolor="red" strokeweight="1.5pt"/>
            </w:pict>
          </mc:Fallback>
        </mc:AlternateContent>
      </w:r>
      <w:r w:rsidR="00EF7EFF">
        <w:rPr>
          <w:noProof/>
          <w:lang w:val="es-MX" w:eastAsia="es-MX"/>
        </w:rPr>
        <w:drawing>
          <wp:inline distT="0" distB="0" distL="0" distR="0" wp14:anchorId="68CCD96B" wp14:editId="2814F323">
            <wp:extent cx="5734050" cy="45910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2859" t="12278" r="24350" b="6159"/>
                    <a:stretch/>
                  </pic:blipFill>
                  <pic:spPr bwMode="auto">
                    <a:xfrm>
                      <a:off x="0" y="0"/>
                      <a:ext cx="5734050" cy="4591050"/>
                    </a:xfrm>
                    <a:prstGeom prst="rect">
                      <a:avLst/>
                    </a:prstGeom>
                    <a:ln>
                      <a:noFill/>
                    </a:ln>
                    <a:extLst>
                      <a:ext uri="{53640926-AAD7-44D8-BBD7-CCE9431645EC}">
                        <a14:shadowObscured xmlns:a14="http://schemas.microsoft.com/office/drawing/2010/main"/>
                      </a:ext>
                    </a:extLst>
                  </pic:spPr>
                </pic:pic>
              </a:graphicData>
            </a:graphic>
          </wp:inline>
        </w:drawing>
      </w:r>
    </w:p>
    <w:p w:rsidR="00EF7EFF" w:rsidRDefault="00EF7EFF" w:rsidP="00EF7EFF">
      <w:pPr>
        <w:spacing w:before="100" w:beforeAutospacing="1" w:after="100" w:afterAutospacing="1" w:line="360" w:lineRule="auto"/>
        <w:jc w:val="both"/>
        <w:rPr>
          <w:rFonts w:ascii="Palatino Linotype" w:hAnsi="Palatino Linotype"/>
        </w:rPr>
      </w:pPr>
      <w:r>
        <w:rPr>
          <w:noProof/>
          <w:lang w:val="es-MX" w:eastAsia="es-MX"/>
        </w:rPr>
        <w:drawing>
          <wp:inline distT="0" distB="0" distL="0" distR="0" wp14:anchorId="30F89F25" wp14:editId="3BF3B861">
            <wp:extent cx="5772150" cy="212407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6642" t="31281" r="27475" b="30422"/>
                    <a:stretch/>
                  </pic:blipFill>
                  <pic:spPr bwMode="auto">
                    <a:xfrm>
                      <a:off x="0" y="0"/>
                      <a:ext cx="5772150" cy="2124075"/>
                    </a:xfrm>
                    <a:prstGeom prst="rect">
                      <a:avLst/>
                    </a:prstGeom>
                    <a:ln>
                      <a:noFill/>
                    </a:ln>
                    <a:extLst>
                      <a:ext uri="{53640926-AAD7-44D8-BBD7-CCE9431645EC}">
                        <a14:shadowObscured xmlns:a14="http://schemas.microsoft.com/office/drawing/2010/main"/>
                      </a:ext>
                    </a:extLst>
                  </pic:spPr>
                </pic:pic>
              </a:graphicData>
            </a:graphic>
          </wp:inline>
        </w:drawing>
      </w:r>
    </w:p>
    <w:p w:rsidR="00EF7EFF" w:rsidRDefault="00EF7EFF" w:rsidP="00EF7EFF">
      <w:pPr>
        <w:spacing w:before="100" w:beforeAutospacing="1" w:after="100" w:afterAutospacing="1" w:line="360" w:lineRule="auto"/>
        <w:jc w:val="both"/>
        <w:rPr>
          <w:rFonts w:ascii="Palatino Linotype" w:hAnsi="Palatino Linotype"/>
        </w:rPr>
      </w:pPr>
      <w:r>
        <w:rPr>
          <w:noProof/>
          <w:lang w:val="es-MX" w:eastAsia="es-MX"/>
        </w:rPr>
        <w:lastRenderedPageBreak/>
        <mc:AlternateContent>
          <mc:Choice Requires="wps">
            <w:drawing>
              <wp:anchor distT="0" distB="0" distL="114300" distR="114300" simplePos="0" relativeHeight="251662336" behindDoc="0" locked="0" layoutInCell="1" allowOverlap="1">
                <wp:simplePos x="0" y="0"/>
                <wp:positionH relativeFrom="margin">
                  <wp:align>left</wp:align>
                </wp:positionH>
                <wp:positionV relativeFrom="paragraph">
                  <wp:posOffset>3159125</wp:posOffset>
                </wp:positionV>
                <wp:extent cx="5724525" cy="771525"/>
                <wp:effectExtent l="19050" t="19050" r="28575" b="28575"/>
                <wp:wrapNone/>
                <wp:docPr id="13" name="Rectángulo 13"/>
                <wp:cNvGraphicFramePr/>
                <a:graphic xmlns:a="http://schemas.openxmlformats.org/drawingml/2006/main">
                  <a:graphicData uri="http://schemas.microsoft.com/office/word/2010/wordprocessingShape">
                    <wps:wsp>
                      <wps:cNvSpPr/>
                      <wps:spPr>
                        <a:xfrm>
                          <a:off x="0" y="0"/>
                          <a:ext cx="5724525" cy="7715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70D879" id="Rectángulo 13" o:spid="_x0000_s1026" style="position:absolute;margin-left:0;margin-top:248.75pt;width:450.75pt;height:60.7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" filled="f" strokecolor="red" strokeweight="2.25pt">
                <w10:wrap anchorx="margin"/>
              </v:rect>
            </w:pict>
          </mc:Fallback>
        </mc:AlternateContent>
      </w:r>
      <w:r>
        <w:rPr>
          <w:noProof/>
          <w:lang w:val="es-MX" w:eastAsia="es-MX"/>
        </w:rPr>
        <w:drawing>
          <wp:inline distT="0" distB="0" distL="0" distR="0" wp14:anchorId="164C8E59" wp14:editId="0A6D5200">
            <wp:extent cx="5800725" cy="394335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7779" t="19752" r="26795" b="6758"/>
                    <a:stretch/>
                  </pic:blipFill>
                  <pic:spPr bwMode="auto">
                    <a:xfrm>
                      <a:off x="0" y="0"/>
                      <a:ext cx="5800725" cy="3943350"/>
                    </a:xfrm>
                    <a:prstGeom prst="rect">
                      <a:avLst/>
                    </a:prstGeom>
                    <a:ln>
                      <a:noFill/>
                    </a:ln>
                    <a:extLst>
                      <a:ext uri="{53640926-AAD7-44D8-BBD7-CCE9431645EC}">
                        <a14:shadowObscured xmlns:a14="http://schemas.microsoft.com/office/drawing/2010/main"/>
                      </a:ext>
                    </a:extLst>
                  </pic:spPr>
                </pic:pic>
              </a:graphicData>
            </a:graphic>
          </wp:inline>
        </w:drawing>
      </w:r>
    </w:p>
    <w:p w:rsidR="009E22D2" w:rsidRDefault="009E22D2" w:rsidP="009E22D2">
      <w:pPr>
        <w:spacing w:before="100" w:beforeAutospacing="1" w:after="100" w:afterAutospacing="1" w:line="360" w:lineRule="auto"/>
        <w:jc w:val="both"/>
        <w:rPr>
          <w:rFonts w:ascii="Palatino Linotype" w:hAnsi="Palatino Linotype" w:cs="Arial"/>
        </w:rPr>
      </w:pPr>
      <w:r>
        <w:rPr>
          <w:rFonts w:ascii="Palatino Linotype" w:hAnsi="Palatino Linotype" w:cs="Arial"/>
        </w:rPr>
        <w:t>Por lo que, a criterio de</w:t>
      </w:r>
      <w:r w:rsidRPr="009F03BA">
        <w:rPr>
          <w:rFonts w:ascii="Palatino Linotype" w:hAnsi="Palatino Linotype" w:cs="Arial"/>
        </w:rPr>
        <w:t xml:space="preserve"> </w:t>
      </w:r>
      <w:r>
        <w:rPr>
          <w:rFonts w:ascii="Palatino Linotype" w:hAnsi="Palatino Linotype" w:cs="Arial"/>
        </w:rPr>
        <w:t xml:space="preserve">la suscrita la Ponencia </w:t>
      </w:r>
      <w:proofErr w:type="spellStart"/>
      <w:r>
        <w:rPr>
          <w:rFonts w:ascii="Palatino Linotype" w:hAnsi="Palatino Linotype" w:cs="Arial"/>
        </w:rPr>
        <w:t>Resolutora</w:t>
      </w:r>
      <w:proofErr w:type="spellEnd"/>
      <w:r>
        <w:rPr>
          <w:rFonts w:ascii="Palatino Linotype" w:hAnsi="Palatino Linotype" w:cs="Arial"/>
        </w:rPr>
        <w:t xml:space="preserve"> debió</w:t>
      </w:r>
      <w:r w:rsidRPr="009F03BA">
        <w:rPr>
          <w:rFonts w:ascii="Palatino Linotype" w:hAnsi="Palatino Linotype" w:cs="Arial"/>
        </w:rPr>
        <w:t xml:space="preserve"> en</w:t>
      </w:r>
      <w:r>
        <w:rPr>
          <w:rFonts w:ascii="Palatino Linotype" w:hAnsi="Palatino Linotype" w:cs="Arial"/>
        </w:rPr>
        <w:t xml:space="preserve"> cumplimiento a los principios de</w:t>
      </w:r>
      <w:r w:rsidRPr="009C5FF5">
        <w:rPr>
          <w:rFonts w:ascii="Palatino Linotype" w:hAnsi="Palatino Linotype" w:cs="Arial"/>
        </w:rPr>
        <w:t xml:space="preserve"> máxima publicidad</w:t>
      </w:r>
      <w:r w:rsidR="00BE207C">
        <w:rPr>
          <w:rFonts w:ascii="Palatino Linotype" w:hAnsi="Palatino Linotype" w:cs="Arial"/>
        </w:rPr>
        <w:t>,</w:t>
      </w:r>
      <w:r w:rsidRPr="009C5FF5">
        <w:rPr>
          <w:rFonts w:ascii="Palatino Linotype" w:hAnsi="Palatino Linotype" w:cs="Arial"/>
        </w:rPr>
        <w:t xml:space="preserve"> </w:t>
      </w:r>
      <w:r>
        <w:rPr>
          <w:rFonts w:ascii="Palatino Linotype" w:hAnsi="Palatino Linotype" w:cs="Arial"/>
        </w:rPr>
        <w:t xml:space="preserve">exhaustividad y congruencia determinar que la temporalidad de entrega de la información ordenada en el Resolutivo SEGUNDO </w:t>
      </w:r>
      <w:r w:rsidR="00EF7EFF">
        <w:rPr>
          <w:rFonts w:ascii="Palatino Linotype" w:hAnsi="Palatino Linotype" w:cs="Arial"/>
        </w:rPr>
        <w:t xml:space="preserve">inciso a) </w:t>
      </w:r>
      <w:r>
        <w:rPr>
          <w:rFonts w:ascii="Palatino Linotype" w:hAnsi="Palatino Linotype" w:cs="Arial"/>
        </w:rPr>
        <w:t>c</w:t>
      </w:r>
      <w:r w:rsidR="00620F0F">
        <w:rPr>
          <w:rFonts w:ascii="Palatino Linotype" w:hAnsi="Palatino Linotype" w:cs="Arial"/>
        </w:rPr>
        <w:t>orrespondería del 29</w:t>
      </w:r>
      <w:r w:rsidR="00BE207C">
        <w:rPr>
          <w:rFonts w:ascii="Palatino Linotype" w:hAnsi="Palatino Linotype" w:cs="Arial"/>
        </w:rPr>
        <w:t xml:space="preserve"> de </w:t>
      </w:r>
      <w:r w:rsidR="00620F0F">
        <w:rPr>
          <w:rFonts w:ascii="Palatino Linotype" w:hAnsi="Palatino Linotype" w:cs="Arial"/>
        </w:rPr>
        <w:t>octubre de 2008 al 22</w:t>
      </w:r>
      <w:r>
        <w:rPr>
          <w:rFonts w:ascii="Palatino Linotype" w:hAnsi="Palatino Linotype" w:cs="Arial"/>
        </w:rPr>
        <w:t xml:space="preserve"> de mayo de 2018, ello a fin de garantizar la máxima publicidad y</w:t>
      </w:r>
      <w:r w:rsidR="00BE207C">
        <w:rPr>
          <w:rFonts w:ascii="Palatino Linotype" w:hAnsi="Palatino Linotype" w:cs="Arial"/>
        </w:rPr>
        <w:t xml:space="preserve"> que exista concordancia entre los</w:t>
      </w:r>
      <w:r>
        <w:rPr>
          <w:rFonts w:ascii="Palatino Linotype" w:hAnsi="Palatino Linotype" w:cs="Arial"/>
        </w:rPr>
        <w:t xml:space="preserve"> requerimiento</w:t>
      </w:r>
      <w:r w:rsidR="00BE207C">
        <w:rPr>
          <w:rFonts w:ascii="Palatino Linotype" w:hAnsi="Palatino Linotype" w:cs="Arial"/>
        </w:rPr>
        <w:t>s formulado</w:t>
      </w:r>
      <w:r w:rsidR="00620F0F">
        <w:rPr>
          <w:rFonts w:ascii="Palatino Linotype" w:hAnsi="Palatino Linotype" w:cs="Arial"/>
        </w:rPr>
        <w:t>s por el</w:t>
      </w:r>
      <w:r>
        <w:rPr>
          <w:rFonts w:ascii="Palatino Linotype" w:hAnsi="Palatino Linotype" w:cs="Arial"/>
        </w:rPr>
        <w:t xml:space="preserve"> particular y lo que se determina ordenar al </w:t>
      </w:r>
      <w:r>
        <w:rPr>
          <w:rFonts w:ascii="Palatino Linotype" w:hAnsi="Palatino Linotype" w:cs="Arial"/>
          <w:b/>
        </w:rPr>
        <w:t xml:space="preserve">SUJETO OBLIGADO </w:t>
      </w:r>
      <w:r>
        <w:rPr>
          <w:rFonts w:ascii="Palatino Linotype" w:hAnsi="Palatino Linotype" w:cs="Arial"/>
        </w:rPr>
        <w:t>haga entrega.</w:t>
      </w:r>
    </w:p>
    <w:p w:rsidR="009E22D2" w:rsidRDefault="009E22D2" w:rsidP="009E22D2">
      <w:pPr>
        <w:spacing w:before="100" w:beforeAutospacing="1" w:after="100" w:afterAutospacing="1" w:line="360" w:lineRule="auto"/>
        <w:jc w:val="both"/>
        <w:rPr>
          <w:rFonts w:ascii="Palatino Linotype" w:hAnsi="Palatino Linotype" w:cs="Arial"/>
          <w:lang w:val="es-MX"/>
        </w:rPr>
      </w:pPr>
      <w:r>
        <w:rPr>
          <w:rFonts w:ascii="Palatino Linotype" w:hAnsi="Palatino Linotype"/>
        </w:rPr>
        <w:lastRenderedPageBreak/>
        <w:t xml:space="preserve">A fin de robustecer lo expuesto, conviene citar </w:t>
      </w:r>
      <w:r>
        <w:rPr>
          <w:rFonts w:ascii="Palatino Linotype" w:hAnsi="Palatino Linotype" w:cs="Segoe UI"/>
        </w:rPr>
        <w:t xml:space="preserve">el criterio orientador </w:t>
      </w:r>
      <w:r>
        <w:rPr>
          <w:rFonts w:ascii="Palatino Linotype" w:hAnsi="Palatino Linotype"/>
          <w:lang w:eastAsia="es-MX"/>
        </w:rPr>
        <w:t xml:space="preserve">002/2017 del Instituto Nacional de Acceso a la Información y Protección de Datos (INAI), </w:t>
      </w:r>
      <w:r>
        <w:rPr>
          <w:rFonts w:ascii="Palatino Linotype" w:hAnsi="Palatino Linotype" w:cs="Arial"/>
        </w:rPr>
        <w:t>cuyo tenor es el siguiente:</w:t>
      </w:r>
    </w:p>
    <w:p w:rsidR="009E22D2" w:rsidRPr="00D621C2" w:rsidRDefault="009E22D2" w:rsidP="009E22D2">
      <w:pPr>
        <w:ind w:left="851" w:right="899"/>
        <w:jc w:val="both"/>
        <w:rPr>
          <w:rFonts w:ascii="Palatino Linotype" w:hAnsi="Palatino Linotype" w:cs="Arial"/>
          <w:b/>
          <w:bCs/>
          <w:i/>
          <w:sz w:val="22"/>
        </w:rPr>
      </w:pPr>
      <w:r w:rsidRPr="006807DD">
        <w:rPr>
          <w:rFonts w:ascii="Palatino Linotype" w:hAnsi="Palatino Linotype" w:cs="Arial"/>
          <w:b/>
          <w:bCs/>
          <w:i/>
          <w:sz w:val="22"/>
        </w:rPr>
        <w:t>“Congruencia y exhaustividad.</w:t>
      </w:r>
      <w:r w:rsidRPr="006807DD">
        <w:rPr>
          <w:rFonts w:ascii="Palatino Linotype" w:hAnsi="Palatino Linotype" w:cs="Arial"/>
          <w:bCs/>
          <w:i/>
          <w:sz w:val="22"/>
        </w:rPr>
        <w:t xml:space="preserve"> Sus alcances para garantizar el derecho de acceso a la información.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D621C2">
        <w:rPr>
          <w:rFonts w:ascii="Palatino Linotype" w:hAnsi="Palatino Linotype" w:cs="Arial"/>
          <w:b/>
          <w:bCs/>
          <w:i/>
          <w:sz w:val="22"/>
        </w:rPr>
        <w:t>la congruencia implica que exista concordancia entre el requerimiento formulado por el particular y la respuesta proporcionada por el sujeto obligado;</w:t>
      </w:r>
      <w:r w:rsidRPr="006807DD">
        <w:rPr>
          <w:rFonts w:ascii="Palatino Linotype" w:hAnsi="Palatino Linotype" w:cs="Arial"/>
          <w:bCs/>
          <w:i/>
          <w:sz w:val="22"/>
        </w:rPr>
        <w:t xml:space="preserve"> mientras que </w:t>
      </w:r>
      <w:r w:rsidRPr="00D621C2">
        <w:rPr>
          <w:rFonts w:ascii="Palatino Linotype" w:hAnsi="Palatino Linotype" w:cs="Arial"/>
          <w:b/>
          <w:bCs/>
          <w:i/>
          <w:sz w:val="22"/>
        </w:rPr>
        <w:t xml:space="preserve">la exhaustividad significa que dicha respuesta se refiera expresamente a cada uno de los puntos solicitados. </w:t>
      </w:r>
      <w:r w:rsidRPr="006807DD">
        <w:rPr>
          <w:rFonts w:ascii="Palatino Linotype" w:hAnsi="Palatino Linotype" w:cs="Arial"/>
          <w:bCs/>
          <w:i/>
          <w:sz w:val="22"/>
        </w:rPr>
        <w:t xml:space="preserve">Por lo anterior, los sujetos obligados cumplirán con los principios de congruencia y exhaustividad, </w:t>
      </w:r>
      <w:r w:rsidRPr="00D621C2">
        <w:rPr>
          <w:rFonts w:ascii="Palatino Linotype" w:hAnsi="Palatino Linotype" w:cs="Arial"/>
          <w:b/>
          <w:bCs/>
          <w:i/>
          <w:sz w:val="22"/>
        </w:rPr>
        <w:t>cuando las respuestas que emitan guarden una relación lógica con lo solicitado y atiendan de manera puntual y expresa, cada uno de los contenidos de información.</w:t>
      </w:r>
    </w:p>
    <w:p w:rsidR="009E22D2" w:rsidRDefault="009E22D2" w:rsidP="009E22D2">
      <w:pPr>
        <w:ind w:left="851" w:right="899"/>
        <w:jc w:val="both"/>
        <w:rPr>
          <w:rFonts w:ascii="Palatino Linotype" w:hAnsi="Palatino Linotype" w:cs="Arial"/>
          <w:b/>
          <w:bCs/>
          <w:i/>
          <w:sz w:val="22"/>
        </w:rPr>
      </w:pPr>
      <w:r w:rsidRPr="006807DD">
        <w:rPr>
          <w:rFonts w:ascii="Palatino Linotype" w:hAnsi="Palatino Linotype" w:cs="Arial"/>
          <w:bCs/>
          <w:i/>
          <w:sz w:val="22"/>
        </w:rPr>
        <w:t xml:space="preserve">Resoluciones: </w:t>
      </w:r>
      <w:r w:rsidRPr="006807DD">
        <w:rPr>
          <w:rFonts w:ascii="Palatino Linotype" w:hAnsi="Palatino Linotype" w:cs="Arial"/>
          <w:bCs/>
          <w:i/>
          <w:sz w:val="22"/>
        </w:rPr>
        <w:sym w:font="Symbol" w:char="F0B7"/>
      </w:r>
      <w:r w:rsidRPr="006807DD">
        <w:rPr>
          <w:rFonts w:ascii="Palatino Linotype" w:hAnsi="Palatino Linotype" w:cs="Arial"/>
          <w:bCs/>
          <w:i/>
          <w:sz w:val="22"/>
        </w:rPr>
        <w:t xml:space="preserve"> RRA 0003/16. Comisión Nacional de las Zonas Áridas. 29 de junio de 2016. Por unanimidad. Comisionado Ponente Oscar Mauricio Guerra Ford. </w:t>
      </w:r>
      <w:r w:rsidRPr="006807DD">
        <w:rPr>
          <w:rFonts w:ascii="Palatino Linotype" w:hAnsi="Palatino Linotype" w:cs="Arial"/>
          <w:bCs/>
          <w:i/>
          <w:sz w:val="22"/>
        </w:rPr>
        <w:sym w:font="Symbol" w:char="F0B7"/>
      </w:r>
      <w:r w:rsidRPr="006807DD">
        <w:rPr>
          <w:rFonts w:ascii="Palatino Linotype" w:hAnsi="Palatino Linotype" w:cs="Arial"/>
          <w:bCs/>
          <w:i/>
          <w:sz w:val="22"/>
        </w:rPr>
        <w:t xml:space="preserve"> RRA 0100/16. Sindicato Nacional de Trabajadores de la Educación. 13 de julio de 2016. Por unanimidad. Comisionada Ponente. Areli Cano Guadiana. </w:t>
      </w:r>
      <w:r w:rsidRPr="006807DD">
        <w:rPr>
          <w:rFonts w:ascii="Palatino Linotype" w:hAnsi="Palatino Linotype" w:cs="Arial"/>
          <w:bCs/>
          <w:i/>
          <w:sz w:val="22"/>
        </w:rPr>
        <w:sym w:font="Symbol" w:char="F0B7"/>
      </w:r>
      <w:r w:rsidRPr="006807DD">
        <w:rPr>
          <w:rFonts w:ascii="Palatino Linotype" w:hAnsi="Palatino Linotype" w:cs="Arial"/>
          <w:bCs/>
          <w:i/>
          <w:sz w:val="22"/>
        </w:rPr>
        <w:t xml:space="preserve"> RRA 1419/16. Secretaría de Educación Pública. 14 de septiembre de 2016. Por unanimidad. Comisionado Ponente </w:t>
      </w:r>
      <w:proofErr w:type="spellStart"/>
      <w:r w:rsidRPr="006807DD">
        <w:rPr>
          <w:rFonts w:ascii="Palatino Linotype" w:hAnsi="Palatino Linotype" w:cs="Arial"/>
          <w:bCs/>
          <w:i/>
          <w:sz w:val="22"/>
        </w:rPr>
        <w:t>Rosendoevgueni</w:t>
      </w:r>
      <w:proofErr w:type="spellEnd"/>
      <w:r w:rsidRPr="006807DD">
        <w:rPr>
          <w:rFonts w:ascii="Palatino Linotype" w:hAnsi="Palatino Linotype" w:cs="Arial"/>
          <w:bCs/>
          <w:i/>
          <w:sz w:val="22"/>
        </w:rPr>
        <w:t xml:space="preserve"> Monterrey </w:t>
      </w:r>
      <w:proofErr w:type="spellStart"/>
      <w:r w:rsidRPr="006807DD">
        <w:rPr>
          <w:rFonts w:ascii="Palatino Linotype" w:hAnsi="Palatino Linotype" w:cs="Arial"/>
          <w:bCs/>
          <w:i/>
          <w:sz w:val="22"/>
        </w:rPr>
        <w:t>Chepov</w:t>
      </w:r>
      <w:proofErr w:type="spellEnd"/>
      <w:r w:rsidRPr="007D2ED5">
        <w:rPr>
          <w:rFonts w:ascii="Palatino Linotype" w:hAnsi="Palatino Linotype" w:cs="Arial"/>
          <w:b/>
          <w:bCs/>
          <w:i/>
          <w:sz w:val="22"/>
        </w:rPr>
        <w:t>.”</w:t>
      </w:r>
    </w:p>
    <w:p w:rsidR="009E22D2" w:rsidRDefault="009E22D2" w:rsidP="009E22D2">
      <w:pPr>
        <w:ind w:left="851" w:right="902"/>
        <w:jc w:val="both"/>
        <w:rPr>
          <w:rFonts w:ascii="Palatino Linotype" w:hAnsi="Palatino Linotype" w:cs="Arial"/>
          <w:bCs/>
          <w:i/>
          <w:sz w:val="22"/>
          <w:lang w:val="es-MX"/>
        </w:rPr>
      </w:pPr>
      <w:r>
        <w:rPr>
          <w:rFonts w:ascii="Palatino Linotype" w:hAnsi="Palatino Linotype" w:cs="Arial"/>
          <w:bCs/>
          <w:i/>
          <w:sz w:val="22"/>
        </w:rPr>
        <w:t>Época: Décima Época “</w:t>
      </w:r>
    </w:p>
    <w:p w:rsidR="009B63E4" w:rsidRDefault="009B63E4" w:rsidP="009B63E4">
      <w:pPr>
        <w:spacing w:before="100" w:beforeAutospacing="1" w:after="100" w:afterAutospacing="1" w:line="360" w:lineRule="auto"/>
        <w:jc w:val="both"/>
        <w:rPr>
          <w:rFonts w:ascii="Palatino Linotype" w:hAnsi="Palatino Linotype"/>
          <w:color w:val="000000"/>
        </w:rPr>
      </w:pPr>
      <w:r>
        <w:rPr>
          <w:rFonts w:ascii="Palatino Linotype" w:hAnsi="Palatino Linotype" w:cs="Arial"/>
        </w:rPr>
        <w:t>Por otra parte</w:t>
      </w:r>
      <w:r w:rsidR="004323CD" w:rsidRPr="004D589C">
        <w:rPr>
          <w:rFonts w:ascii="Palatino Linotype" w:hAnsi="Palatino Linotype" w:cs="Arial"/>
        </w:rPr>
        <w:t xml:space="preserve">, </w:t>
      </w:r>
      <w:r>
        <w:rPr>
          <w:rFonts w:ascii="Palatino Linotype" w:hAnsi="Palatino Linotype" w:cs="Arial"/>
        </w:rPr>
        <w:t xml:space="preserve">considero necesario puntualizar que </w:t>
      </w:r>
      <w:r>
        <w:rPr>
          <w:rFonts w:ascii="Palatino Linotype" w:hAnsi="Palatino Linotype"/>
          <w:color w:val="000000"/>
        </w:rPr>
        <w:t xml:space="preserve">respecto del fundamento legal citado en el resolutivo CUARTO de dicha resolución, se advierte que no existe pronunciamiento alguno por la Ponencia </w:t>
      </w:r>
      <w:proofErr w:type="spellStart"/>
      <w:r>
        <w:rPr>
          <w:rFonts w:ascii="Palatino Linotype" w:hAnsi="Palatino Linotype"/>
          <w:color w:val="000000"/>
        </w:rPr>
        <w:t>Resolutora</w:t>
      </w:r>
      <w:proofErr w:type="spellEnd"/>
      <w:r>
        <w:rPr>
          <w:rFonts w:ascii="Palatino Linotype" w:hAnsi="Palatino Linotype"/>
          <w:color w:val="000000"/>
        </w:rPr>
        <w:t xml:space="preserve"> así como del </w:t>
      </w:r>
      <w:r>
        <w:rPr>
          <w:rFonts w:ascii="Palatino Linotype" w:hAnsi="Palatino Linotype"/>
          <w:b/>
          <w:color w:val="000000"/>
        </w:rPr>
        <w:t xml:space="preserve">SUJETO OBLIGADO </w:t>
      </w:r>
      <w:r>
        <w:rPr>
          <w:rFonts w:ascii="Palatino Linotype" w:hAnsi="Palatino Linotype"/>
          <w:color w:val="000000"/>
        </w:rPr>
        <w:t>por el cual deba citarse en dicho resolutivo el artículo 159 de la Ley General de Transparencia y Acceso a la Información Pública.</w:t>
      </w:r>
    </w:p>
    <w:p w:rsidR="009B63E4" w:rsidRDefault="009B63E4" w:rsidP="009B63E4">
      <w:pPr>
        <w:spacing w:before="100" w:beforeAutospacing="1" w:after="100" w:afterAutospacing="1" w:line="360" w:lineRule="auto"/>
        <w:ind w:right="49"/>
        <w:jc w:val="both"/>
        <w:rPr>
          <w:rFonts w:ascii="Palatino Linotype" w:hAnsi="Palatino Linotype" w:cs="Arial"/>
        </w:rPr>
      </w:pPr>
      <w:r>
        <w:rPr>
          <w:rFonts w:ascii="Palatino Linotype" w:hAnsi="Palatino Linotype" w:cs="Arial"/>
        </w:rPr>
        <w:lastRenderedPageBreak/>
        <w:t>En ese contexto, conviene precisar que dicho artículo de la Ley General de Transparencia y Acceso a la Información Pública, se encuentra en el Título Octavo, denominado de los Procedimientos de Impugnación en materia de Acceso a la Información Pública, Capítulo II, denominado Del Recurso de Inconformidad ante el Instituto (INAI), el cual refiere que tratándose de las resoluciones a los recursos de revisión de los Organismos Garantes de las Entidades Federativas, los particulares podrán optar por acudir ante el Instituto (INAI) o ante el Poder Judicial de la Federación.</w:t>
      </w:r>
    </w:p>
    <w:p w:rsidR="009B63E4" w:rsidRDefault="009B63E4" w:rsidP="009B63E4">
      <w:pPr>
        <w:spacing w:before="100" w:beforeAutospacing="1" w:after="100" w:afterAutospacing="1" w:line="360" w:lineRule="auto"/>
        <w:ind w:right="49"/>
        <w:jc w:val="both"/>
        <w:rPr>
          <w:rFonts w:ascii="Palatino Linotype" w:hAnsi="Palatino Linotype" w:cs="Arial"/>
        </w:rPr>
      </w:pPr>
      <w:r>
        <w:rPr>
          <w:rFonts w:ascii="Palatino Linotype" w:hAnsi="Palatino Linotype" w:cs="Arial"/>
        </w:rPr>
        <w:t>Conviene citar el artículo 159 de la Ley General de Transparencia y Acceso a la Información Pública, que a la letra dice:</w:t>
      </w:r>
    </w:p>
    <w:p w:rsidR="009B63E4" w:rsidRDefault="009B63E4" w:rsidP="009B63E4">
      <w:pPr>
        <w:spacing w:before="100" w:beforeAutospacing="1" w:after="100" w:afterAutospacing="1"/>
        <w:ind w:left="851" w:right="899"/>
        <w:jc w:val="both"/>
        <w:rPr>
          <w:rFonts w:ascii="Palatino Linotype" w:hAnsi="Palatino Linotype"/>
          <w:b/>
          <w:i/>
          <w:sz w:val="22"/>
          <w:szCs w:val="22"/>
        </w:rPr>
      </w:pPr>
      <w:r>
        <w:rPr>
          <w:rFonts w:ascii="Palatino Linotype" w:hAnsi="Palatino Linotype"/>
          <w:b/>
          <w:i/>
          <w:sz w:val="22"/>
          <w:szCs w:val="22"/>
        </w:rPr>
        <w:t>“Ley General de Transparencia y Acceso a la Información Publica</w:t>
      </w:r>
    </w:p>
    <w:p w:rsidR="009B63E4" w:rsidRDefault="009B63E4" w:rsidP="009B63E4">
      <w:pPr>
        <w:spacing w:before="100" w:beforeAutospacing="1" w:after="100" w:afterAutospacing="1"/>
        <w:ind w:left="851" w:right="899"/>
        <w:jc w:val="both"/>
        <w:rPr>
          <w:rFonts w:ascii="Palatino Linotype" w:hAnsi="Palatino Linotype"/>
          <w:i/>
          <w:sz w:val="22"/>
          <w:szCs w:val="22"/>
        </w:rPr>
      </w:pPr>
      <w:r w:rsidRPr="00A16D0F">
        <w:rPr>
          <w:rFonts w:ascii="Palatino Linotype" w:hAnsi="Palatino Linotype"/>
          <w:b/>
          <w:i/>
          <w:sz w:val="22"/>
          <w:szCs w:val="22"/>
        </w:rPr>
        <w:t>Artículo 1</w:t>
      </w:r>
      <w:r>
        <w:rPr>
          <w:rFonts w:ascii="Palatino Linotype" w:hAnsi="Palatino Linotype"/>
          <w:b/>
          <w:i/>
          <w:sz w:val="22"/>
          <w:szCs w:val="22"/>
        </w:rPr>
        <w:t>59</w:t>
      </w:r>
      <w:r w:rsidRPr="00A16D0F">
        <w:rPr>
          <w:rFonts w:ascii="Palatino Linotype" w:hAnsi="Palatino Linotype"/>
          <w:b/>
          <w:i/>
          <w:sz w:val="22"/>
          <w:szCs w:val="22"/>
        </w:rPr>
        <w:t>.</w:t>
      </w:r>
      <w:r w:rsidRPr="00A16D0F">
        <w:rPr>
          <w:rFonts w:ascii="Palatino Linotype" w:hAnsi="Palatino Linotype"/>
          <w:i/>
          <w:sz w:val="22"/>
          <w:szCs w:val="22"/>
        </w:rPr>
        <w:t xml:space="preserve"> </w:t>
      </w:r>
      <w:r>
        <w:rPr>
          <w:rFonts w:ascii="Palatino Linotype" w:hAnsi="Palatino Linotype"/>
          <w:i/>
          <w:sz w:val="22"/>
          <w:szCs w:val="22"/>
        </w:rPr>
        <w:t>Tratándose de las resoluciones a los recursos de revisión de los Organismos Garantes de las Entidades Federativas, los particulares podrán optar por acudir ante el Instituto o ante el Poder Judicial de la Federación</w:t>
      </w:r>
    </w:p>
    <w:p w:rsidR="009B63E4" w:rsidRDefault="009B63E4" w:rsidP="009B63E4">
      <w:pPr>
        <w:widowControl w:val="0"/>
        <w:autoSpaceDE w:val="0"/>
        <w:autoSpaceDN w:val="0"/>
        <w:adjustRightInd w:val="0"/>
        <w:spacing w:before="100" w:beforeAutospacing="1" w:after="100" w:afterAutospacing="1" w:line="360" w:lineRule="auto"/>
        <w:ind w:right="49"/>
        <w:jc w:val="both"/>
        <w:rPr>
          <w:rFonts w:ascii="Palatino Linotype" w:hAnsi="Palatino Linotype" w:cs="Arial"/>
        </w:rPr>
      </w:pPr>
      <w:r>
        <w:rPr>
          <w:rFonts w:ascii="Palatino Linotype" w:hAnsi="Palatino Linotype" w:cs="Arial"/>
        </w:rPr>
        <w:t xml:space="preserve">Así, de lo anterior se advierte que, aun cuando dicho artículo guarda relación y, pudieran ser aplicable a la resolución en estudio, lo cierto es que, al existir normatividad aplicable en el Estado que regula la impugnación de las resoluciones emitidas por este Instituto, a criterio de la que suscribe no se considera necesario citar el numeral 159 de la Ley General de Transparencia, toda vez que la Ley de la materia para la Entidad, contempla entre sus artículos el 196 </w:t>
      </w:r>
      <w:r w:rsidR="0050120A">
        <w:rPr>
          <w:rFonts w:ascii="Palatino Linotype" w:hAnsi="Palatino Linotype" w:cs="Arial"/>
        </w:rPr>
        <w:t xml:space="preserve">en el que se refiere a </w:t>
      </w:r>
      <w:r>
        <w:rPr>
          <w:rFonts w:ascii="Palatino Linotype" w:hAnsi="Palatino Linotype" w:cs="Arial"/>
        </w:rPr>
        <w:t>la impugnación de las resoluciones, por lo que, es el ordinal aplicable.</w:t>
      </w:r>
    </w:p>
    <w:p w:rsidR="009B63E4" w:rsidRDefault="009E22D2" w:rsidP="009B63E4">
      <w:pPr>
        <w:autoSpaceDE w:val="0"/>
        <w:autoSpaceDN w:val="0"/>
        <w:adjustRightInd w:val="0"/>
        <w:spacing w:before="100" w:beforeAutospacing="1" w:after="100" w:afterAutospacing="1" w:line="360" w:lineRule="auto"/>
        <w:ind w:right="-91"/>
        <w:jc w:val="both"/>
        <w:rPr>
          <w:rFonts w:ascii="Palatino Linotype" w:hAnsi="Palatino Linotype" w:cs="Arial"/>
        </w:rPr>
      </w:pPr>
      <w:r>
        <w:rPr>
          <w:rFonts w:ascii="Palatino Linotype" w:hAnsi="Palatino Linotype" w:cs="Arial"/>
        </w:rPr>
        <w:lastRenderedPageBreak/>
        <w:t>De todo lo expuesto, la suscrita</w:t>
      </w:r>
      <w:r w:rsidRPr="000A6958">
        <w:rPr>
          <w:rFonts w:ascii="Palatino Linotype" w:hAnsi="Palatino Linotype" w:cs="Arial"/>
        </w:rPr>
        <w:t xml:space="preserve"> emite </w:t>
      </w:r>
      <w:r w:rsidRPr="000A6958">
        <w:rPr>
          <w:rFonts w:ascii="Palatino Linotype" w:hAnsi="Palatino Linotype" w:cs="Arial"/>
          <w:b/>
        </w:rPr>
        <w:t>VOTO PARTICULAR</w:t>
      </w:r>
      <w:r>
        <w:rPr>
          <w:rFonts w:ascii="Palatino Linotype" w:hAnsi="Palatino Linotype" w:cs="Arial"/>
        </w:rPr>
        <w:t xml:space="preserve">, pues se insiste en que lo procedente en relación con el Resolutivo SEGUNDO era que tanto en estudio como en resolutivos se precisara </w:t>
      </w:r>
      <w:r w:rsidR="00AF22AF">
        <w:rPr>
          <w:rFonts w:ascii="Palatino Linotype" w:hAnsi="Palatino Linotype" w:cs="Arial"/>
        </w:rPr>
        <w:t>que procedía la entrega de</w:t>
      </w:r>
      <w:r w:rsidR="009B63E4">
        <w:rPr>
          <w:rFonts w:ascii="Palatino Linotype" w:hAnsi="Palatino Linotype" w:cs="Arial"/>
        </w:rPr>
        <w:t xml:space="preserve"> los programas anuales de protecci</w:t>
      </w:r>
      <w:r w:rsidR="00E44FBC">
        <w:rPr>
          <w:rFonts w:ascii="Palatino Linotype" w:hAnsi="Palatino Linotype" w:cs="Arial"/>
        </w:rPr>
        <w:t xml:space="preserve">ón civil, listado de brigadas, así como los documentos en donde conste la capacitación a los brigadistas </w:t>
      </w:r>
      <w:r w:rsidR="009B63E4">
        <w:rPr>
          <w:rFonts w:ascii="Palatino Linotype" w:hAnsi="Palatino Linotype" w:cs="Arial"/>
        </w:rPr>
        <w:t>del 28</w:t>
      </w:r>
      <w:r>
        <w:rPr>
          <w:rFonts w:ascii="Palatino Linotype" w:hAnsi="Palatino Linotype" w:cs="Arial"/>
        </w:rPr>
        <w:t xml:space="preserve"> de </w:t>
      </w:r>
      <w:r w:rsidR="009B63E4">
        <w:rPr>
          <w:rFonts w:ascii="Palatino Linotype" w:hAnsi="Palatino Linotype" w:cs="Arial"/>
        </w:rPr>
        <w:t xml:space="preserve">octubre </w:t>
      </w:r>
      <w:r>
        <w:rPr>
          <w:rFonts w:ascii="Palatino Linotype" w:hAnsi="Palatino Linotype" w:cs="Arial"/>
        </w:rPr>
        <w:t>de 200</w:t>
      </w:r>
      <w:r w:rsidR="0050120A">
        <w:rPr>
          <w:rFonts w:ascii="Palatino Linotype" w:hAnsi="Palatino Linotype" w:cs="Arial"/>
        </w:rPr>
        <w:t>8 al 22</w:t>
      </w:r>
      <w:r w:rsidR="009B63E4">
        <w:rPr>
          <w:rFonts w:ascii="Palatino Linotype" w:hAnsi="Palatino Linotype" w:cs="Arial"/>
        </w:rPr>
        <w:t xml:space="preserve"> de mayo de 2018</w:t>
      </w:r>
      <w:r w:rsidR="00BB0C92">
        <w:rPr>
          <w:rFonts w:ascii="Palatino Linotype" w:hAnsi="Palatino Linotype" w:cs="Arial"/>
        </w:rPr>
        <w:t xml:space="preserve">, </w:t>
      </w:r>
      <w:r>
        <w:rPr>
          <w:rFonts w:ascii="Palatino Linotype" w:hAnsi="Palatino Linotype" w:cs="Arial"/>
        </w:rPr>
        <w:t>ello</w:t>
      </w:r>
      <w:r w:rsidR="00BE207C">
        <w:rPr>
          <w:rFonts w:ascii="Palatino Linotype" w:hAnsi="Palatino Linotype" w:cs="Arial"/>
        </w:rPr>
        <w:t xml:space="preserve"> en atención al principio</w:t>
      </w:r>
      <w:r w:rsidR="00AF22AF">
        <w:rPr>
          <w:rFonts w:ascii="Palatino Linotype" w:hAnsi="Palatino Linotype" w:cs="Arial"/>
        </w:rPr>
        <w:t xml:space="preserve"> de exhaustividad y congruencia</w:t>
      </w:r>
      <w:r w:rsidR="009B63E4">
        <w:rPr>
          <w:rFonts w:ascii="Palatino Linotype" w:hAnsi="Palatino Linotype" w:cs="Arial"/>
        </w:rPr>
        <w:t>; por otra parte y respecto a lo precisado en el resolutivo CUARTO de la resolución de mérito,</w:t>
      </w:r>
      <w:r w:rsidR="009B63E4" w:rsidRPr="006353A8">
        <w:rPr>
          <w:rFonts w:ascii="Palatino Linotype" w:hAnsi="Palatino Linotype" w:cs="Arial"/>
        </w:rPr>
        <w:t xml:space="preserve"> </w:t>
      </w:r>
      <w:r w:rsidR="009B63E4">
        <w:rPr>
          <w:rFonts w:ascii="Palatino Linotype" w:hAnsi="Palatino Linotype" w:cs="Arial"/>
        </w:rPr>
        <w:t>se debió omitir citar el artículo 159 de la Ley General de Transparencia y Acceso a la Información Pública, toda vez que al existir normatividad aplicable en el Estado que regula la impugnación de las resoluciones emitidas por este Instituto, no se considera necesario citar dicho artículo en el resolutivo</w:t>
      </w:r>
      <w:r w:rsidR="0050120A">
        <w:rPr>
          <w:rFonts w:ascii="Palatino Linotype" w:hAnsi="Palatino Linotype" w:cs="Arial"/>
        </w:rPr>
        <w:t xml:space="preserve"> de referencia</w:t>
      </w:r>
      <w:r w:rsidR="009B63E4">
        <w:rPr>
          <w:rFonts w:ascii="Palatino Linotype" w:hAnsi="Palatino Linotype" w:cs="Arial"/>
        </w:rPr>
        <w:t>.</w:t>
      </w:r>
    </w:p>
    <w:p w:rsidR="009E22D2" w:rsidRDefault="009E22D2" w:rsidP="009E22D2">
      <w:pPr>
        <w:spacing w:before="100" w:beforeAutospacing="1" w:after="100" w:afterAutospacing="1" w:line="360" w:lineRule="auto"/>
        <w:jc w:val="both"/>
        <w:rPr>
          <w:rFonts w:ascii="Palatino Linotype" w:hAnsi="Palatino Linotype" w:cs="Arial"/>
        </w:rPr>
      </w:pPr>
    </w:p>
    <w:p w:rsidR="00AF22AF" w:rsidRDefault="00AF22AF" w:rsidP="009E22D2">
      <w:pPr>
        <w:spacing w:before="100" w:beforeAutospacing="1" w:after="100" w:afterAutospacing="1" w:line="360" w:lineRule="auto"/>
        <w:jc w:val="both"/>
        <w:rPr>
          <w:rFonts w:ascii="Palatino Linotype" w:hAnsi="Palatino Linotype" w:cs="Arial"/>
        </w:rPr>
      </w:pPr>
    </w:p>
    <w:p w:rsidR="00122A8E" w:rsidRPr="00122A8E" w:rsidRDefault="00122A8E" w:rsidP="009E22D2">
      <w:pPr>
        <w:spacing w:before="100" w:beforeAutospacing="1" w:after="100" w:afterAutospacing="1" w:line="360" w:lineRule="auto"/>
        <w:jc w:val="both"/>
        <w:rPr>
          <w:rFonts w:ascii="Palatino Linotype" w:hAnsi="Palatino Linotype" w:cs="Arial"/>
          <w:sz w:val="10"/>
        </w:rPr>
      </w:pPr>
      <w:bookmarkStart w:id="0" w:name="_GoBack"/>
      <w:bookmarkEnd w:id="0"/>
    </w:p>
    <w:tbl>
      <w:tblPr>
        <w:tblW w:w="4393" w:type="dxa"/>
        <w:jc w:val="center"/>
        <w:tblLayout w:type="fixed"/>
        <w:tblLook w:val="04A0" w:firstRow="1" w:lastRow="0" w:firstColumn="1" w:lastColumn="0" w:noHBand="0" w:noVBand="1"/>
      </w:tblPr>
      <w:tblGrid>
        <w:gridCol w:w="4393"/>
      </w:tblGrid>
      <w:tr w:rsidR="009E22D2" w:rsidRPr="001950C9" w:rsidTr="00555281">
        <w:trPr>
          <w:jc w:val="center"/>
        </w:trPr>
        <w:tc>
          <w:tcPr>
            <w:tcW w:w="4393" w:type="dxa"/>
          </w:tcPr>
          <w:p w:rsidR="009E22D2" w:rsidRPr="001950C9" w:rsidRDefault="009E22D2" w:rsidP="00555281">
            <w:pPr>
              <w:jc w:val="center"/>
              <w:rPr>
                <w:rFonts w:ascii="Palatino Linotype" w:hAnsi="Palatino Linotype"/>
                <w:b/>
              </w:rPr>
            </w:pPr>
            <w:r w:rsidRPr="001950C9">
              <w:rPr>
                <w:rFonts w:ascii="Palatino Linotype" w:hAnsi="Palatino Linotype"/>
                <w:b/>
              </w:rPr>
              <w:t>EVA ABAID YAPUR</w:t>
            </w:r>
          </w:p>
          <w:p w:rsidR="009E22D2" w:rsidRDefault="009E22D2" w:rsidP="00122A8E">
            <w:pPr>
              <w:jc w:val="center"/>
              <w:rPr>
                <w:rFonts w:ascii="Palatino Linotype" w:hAnsi="Palatino Linotype"/>
                <w:b/>
              </w:rPr>
            </w:pPr>
            <w:r w:rsidRPr="001950C9">
              <w:rPr>
                <w:rFonts w:ascii="Palatino Linotype" w:hAnsi="Palatino Linotype"/>
                <w:b/>
              </w:rPr>
              <w:t>COMISIONADA</w:t>
            </w:r>
          </w:p>
          <w:p w:rsidR="002253F0" w:rsidRPr="001950C9" w:rsidRDefault="002253F0" w:rsidP="00122A8E">
            <w:pPr>
              <w:jc w:val="center"/>
              <w:rPr>
                <w:rFonts w:ascii="Palatino Linotype" w:hAnsi="Palatino Linotype"/>
                <w:b/>
              </w:rPr>
            </w:pPr>
            <w:r>
              <w:rPr>
                <w:rFonts w:ascii="Palatino Linotype" w:hAnsi="Palatino Linotype" w:cs="Arial"/>
                <w:b/>
              </w:rPr>
              <w:t>(RÚBRICA)</w:t>
            </w:r>
          </w:p>
        </w:tc>
      </w:tr>
    </w:tbl>
    <w:p w:rsidR="009E22D2" w:rsidRDefault="009E22D2" w:rsidP="009E22D2">
      <w:pPr>
        <w:spacing w:before="100" w:beforeAutospacing="1" w:after="100" w:afterAutospacing="1" w:line="360" w:lineRule="auto"/>
        <w:jc w:val="both"/>
        <w:rPr>
          <w:rFonts w:ascii="Palatino Linotype" w:eastAsia="Calibri" w:hAnsi="Palatino Linotype" w:cs="Arial"/>
          <w:color w:val="000000" w:themeColor="text1"/>
          <w:sz w:val="20"/>
          <w:szCs w:val="20"/>
        </w:rPr>
      </w:pPr>
    </w:p>
    <w:p w:rsidR="00E44FBC" w:rsidRDefault="00E44FBC" w:rsidP="009E22D2">
      <w:pPr>
        <w:jc w:val="both"/>
        <w:rPr>
          <w:rFonts w:ascii="Palatino Linotype" w:eastAsia="Calibri" w:hAnsi="Palatino Linotype" w:cs="Arial"/>
          <w:color w:val="000000" w:themeColor="text1"/>
          <w:sz w:val="20"/>
          <w:szCs w:val="20"/>
        </w:rPr>
      </w:pPr>
    </w:p>
    <w:p w:rsidR="009E22D2" w:rsidRDefault="009E22D2" w:rsidP="009E22D2">
      <w:pPr>
        <w:jc w:val="both"/>
        <w:rPr>
          <w:rFonts w:ascii="Palatino Linotype" w:eastAsia="Calibri" w:hAnsi="Palatino Linotype" w:cs="Arial"/>
          <w:color w:val="000000" w:themeColor="text1"/>
          <w:sz w:val="20"/>
          <w:szCs w:val="20"/>
        </w:rPr>
      </w:pPr>
      <w:r w:rsidRPr="001950C9">
        <w:rPr>
          <w:rFonts w:ascii="Palatino Linotype" w:eastAsia="Calibri" w:hAnsi="Palatino Linotype" w:cs="Arial"/>
          <w:color w:val="000000" w:themeColor="text1"/>
          <w:sz w:val="20"/>
          <w:szCs w:val="20"/>
        </w:rPr>
        <w:t xml:space="preserve">Esta hoja corresponde al voto particular emitido en </w:t>
      </w:r>
      <w:r>
        <w:rPr>
          <w:rFonts w:ascii="Palatino Linotype" w:eastAsia="Calibri" w:hAnsi="Palatino Linotype" w:cs="Arial"/>
          <w:color w:val="000000" w:themeColor="text1"/>
          <w:sz w:val="20"/>
          <w:szCs w:val="20"/>
        </w:rPr>
        <w:t>la resolución d</w:t>
      </w:r>
      <w:r w:rsidR="009B63E4">
        <w:rPr>
          <w:rFonts w:ascii="Palatino Linotype" w:eastAsia="Calibri" w:hAnsi="Palatino Linotype" w:cs="Arial"/>
          <w:color w:val="000000" w:themeColor="text1"/>
          <w:sz w:val="20"/>
          <w:szCs w:val="20"/>
        </w:rPr>
        <w:t>e</w:t>
      </w:r>
      <w:r w:rsidR="00BE207C">
        <w:rPr>
          <w:rFonts w:ascii="Palatino Linotype" w:eastAsia="Calibri" w:hAnsi="Palatino Linotype" w:cs="Arial"/>
          <w:color w:val="000000" w:themeColor="text1"/>
          <w:sz w:val="20"/>
          <w:szCs w:val="20"/>
        </w:rPr>
        <w:t>l</w:t>
      </w:r>
      <w:r w:rsidR="009B63E4">
        <w:rPr>
          <w:rFonts w:ascii="Palatino Linotype" w:eastAsia="Calibri" w:hAnsi="Palatino Linotype" w:cs="Arial"/>
          <w:color w:val="000000" w:themeColor="text1"/>
          <w:sz w:val="20"/>
          <w:szCs w:val="20"/>
        </w:rPr>
        <w:t xml:space="preserve"> </w:t>
      </w:r>
      <w:r w:rsidRPr="001950C9">
        <w:rPr>
          <w:rFonts w:ascii="Palatino Linotype" w:eastAsia="Calibri" w:hAnsi="Palatino Linotype" w:cs="Arial"/>
          <w:color w:val="000000" w:themeColor="text1"/>
          <w:sz w:val="20"/>
          <w:szCs w:val="20"/>
        </w:rPr>
        <w:t>recurso de revisión 0</w:t>
      </w:r>
      <w:r w:rsidR="009B63E4">
        <w:rPr>
          <w:rFonts w:ascii="Palatino Linotype" w:eastAsia="Calibri" w:hAnsi="Palatino Linotype" w:cs="Arial"/>
          <w:color w:val="000000" w:themeColor="text1"/>
          <w:sz w:val="20"/>
          <w:szCs w:val="20"/>
        </w:rPr>
        <w:t>2224</w:t>
      </w:r>
      <w:r w:rsidRPr="001950C9">
        <w:rPr>
          <w:rFonts w:ascii="Palatino Linotype" w:eastAsia="Calibri" w:hAnsi="Palatino Linotype" w:cs="Arial"/>
          <w:color w:val="000000" w:themeColor="text1"/>
          <w:sz w:val="20"/>
          <w:szCs w:val="20"/>
        </w:rPr>
        <w:t>/INFOEM/IP/RR/201</w:t>
      </w:r>
      <w:r>
        <w:rPr>
          <w:rFonts w:ascii="Palatino Linotype" w:eastAsia="Calibri" w:hAnsi="Palatino Linotype" w:cs="Arial"/>
          <w:color w:val="000000" w:themeColor="text1"/>
          <w:sz w:val="20"/>
          <w:szCs w:val="20"/>
        </w:rPr>
        <w:t>8 aprobada</w:t>
      </w:r>
      <w:r w:rsidRPr="001950C9">
        <w:rPr>
          <w:rFonts w:ascii="Palatino Linotype" w:eastAsia="Calibri" w:hAnsi="Palatino Linotype" w:cs="Arial"/>
          <w:color w:val="000000" w:themeColor="text1"/>
          <w:sz w:val="20"/>
          <w:szCs w:val="20"/>
        </w:rPr>
        <w:t xml:space="preserve"> el</w:t>
      </w:r>
      <w:r>
        <w:rPr>
          <w:rFonts w:ascii="Palatino Linotype" w:eastAsia="Calibri" w:hAnsi="Palatino Linotype" w:cs="Arial"/>
          <w:color w:val="000000" w:themeColor="text1"/>
          <w:sz w:val="20"/>
          <w:szCs w:val="20"/>
        </w:rPr>
        <w:t xml:space="preserve"> </w:t>
      </w:r>
      <w:r w:rsidR="009B63E4">
        <w:rPr>
          <w:rFonts w:ascii="Palatino Linotype" w:eastAsia="Calibri" w:hAnsi="Palatino Linotype" w:cs="Arial"/>
          <w:color w:val="000000" w:themeColor="text1"/>
          <w:sz w:val="20"/>
          <w:szCs w:val="20"/>
        </w:rPr>
        <w:t xml:space="preserve">veintidós </w:t>
      </w:r>
      <w:r>
        <w:rPr>
          <w:rFonts w:ascii="Palatino Linotype" w:eastAsia="Calibri" w:hAnsi="Palatino Linotype" w:cs="Arial"/>
          <w:color w:val="000000" w:themeColor="text1"/>
          <w:sz w:val="20"/>
          <w:szCs w:val="20"/>
        </w:rPr>
        <w:t>de agosto de dos mil dieciocho</w:t>
      </w:r>
      <w:r w:rsidRPr="001950C9">
        <w:rPr>
          <w:rFonts w:ascii="Palatino Linotype" w:eastAsia="Calibri" w:hAnsi="Palatino Linotype" w:cs="Arial"/>
          <w:color w:val="000000" w:themeColor="text1"/>
          <w:sz w:val="20"/>
          <w:szCs w:val="20"/>
        </w:rPr>
        <w:t>.</w:t>
      </w:r>
      <w:r>
        <w:rPr>
          <w:rFonts w:ascii="Palatino Linotype" w:eastAsia="Calibri" w:hAnsi="Palatino Linotype" w:cs="Arial"/>
          <w:color w:val="000000" w:themeColor="text1"/>
          <w:sz w:val="20"/>
          <w:szCs w:val="20"/>
        </w:rPr>
        <w:t xml:space="preserve"> </w:t>
      </w:r>
    </w:p>
    <w:p w:rsidR="00E44FBC" w:rsidRPr="00E44FBC" w:rsidRDefault="00E44FBC" w:rsidP="009E22D2">
      <w:pPr>
        <w:jc w:val="both"/>
        <w:rPr>
          <w:rFonts w:ascii="Palatino Linotype" w:eastAsia="Calibri" w:hAnsi="Palatino Linotype" w:cs="Arial"/>
          <w:color w:val="000000" w:themeColor="text1"/>
          <w:sz w:val="4"/>
          <w:szCs w:val="20"/>
        </w:rPr>
      </w:pPr>
    </w:p>
    <w:p w:rsidR="009E22D2" w:rsidRPr="00122A8E" w:rsidRDefault="009B63E4" w:rsidP="00122A8E">
      <w:pPr>
        <w:jc w:val="both"/>
        <w:rPr>
          <w:sz w:val="28"/>
        </w:rPr>
      </w:pPr>
      <w:r w:rsidRPr="009B63E4">
        <w:rPr>
          <w:rFonts w:ascii="Palatino Linotype" w:eastAsia="Calibri" w:hAnsi="Palatino Linotype" w:cs="Arial"/>
          <w:color w:val="000000" w:themeColor="text1"/>
          <w:sz w:val="20"/>
          <w:szCs w:val="18"/>
        </w:rPr>
        <w:t>YSM/IAHA</w:t>
      </w:r>
      <w:r w:rsidR="00122A8E">
        <w:rPr>
          <w:rFonts w:ascii="Palatino Linotype" w:eastAsia="Calibri" w:hAnsi="Palatino Linotype" w:cs="Arial"/>
          <w:color w:val="000000" w:themeColor="text1"/>
          <w:sz w:val="20"/>
          <w:szCs w:val="18"/>
        </w:rPr>
        <w:t xml:space="preserve"> </w:t>
      </w:r>
    </w:p>
    <w:sectPr w:rsidR="009E22D2" w:rsidRPr="00122A8E" w:rsidSect="00017A8B">
      <w:headerReference w:type="even" r:id="rId11"/>
      <w:headerReference w:type="default" r:id="rId12"/>
      <w:footerReference w:type="default" r:id="rId13"/>
      <w:headerReference w:type="first" r:id="rId14"/>
      <w:pgSz w:w="12240" w:h="15840"/>
      <w:pgMar w:top="1418" w:right="1418" w:bottom="1418" w:left="1701" w:header="709" w:footer="59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04FC" w:rsidRDefault="00A904FC" w:rsidP="00B3668D">
      <w:r>
        <w:separator/>
      </w:r>
    </w:p>
  </w:endnote>
  <w:endnote w:type="continuationSeparator" w:id="0">
    <w:p w:rsidR="00A904FC" w:rsidRDefault="00A904FC" w:rsidP="00B366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7C8F" w:rsidRDefault="00A904FC" w:rsidP="00DC5C4E">
    <w:pPr>
      <w:pStyle w:val="Piedepgina"/>
      <w:tabs>
        <w:tab w:val="clear" w:pos="4252"/>
        <w:tab w:val="left" w:pos="4228"/>
      </w:tabs>
      <w:rPr>
        <w:rFonts w:ascii="Palatino Linotype" w:hAnsi="Palatino Linotype" w:cs="Arial"/>
        <w:b/>
        <w:bCs/>
        <w:sz w:val="20"/>
        <w:szCs w:val="20"/>
      </w:rPr>
    </w:pPr>
  </w:p>
  <w:p w:rsidR="005C7C8F" w:rsidRDefault="00A904FC" w:rsidP="00DC5C4E">
    <w:pPr>
      <w:pStyle w:val="Piedepgina"/>
      <w:tabs>
        <w:tab w:val="clear" w:pos="4252"/>
        <w:tab w:val="left" w:pos="4228"/>
      </w:tabs>
      <w:rPr>
        <w:rFonts w:ascii="Palatino Linotype" w:hAnsi="Palatino Linotype" w:cs="Arial"/>
        <w:b/>
        <w:bCs/>
        <w:sz w:val="20"/>
        <w:szCs w:val="20"/>
      </w:rPr>
    </w:pPr>
  </w:p>
  <w:p w:rsidR="005C7C8F" w:rsidRDefault="00A904FC" w:rsidP="00DC5C4E">
    <w:pPr>
      <w:pStyle w:val="Piedepgina"/>
      <w:tabs>
        <w:tab w:val="clear" w:pos="4252"/>
        <w:tab w:val="left" w:pos="4228"/>
      </w:tabs>
      <w:rPr>
        <w:rFonts w:ascii="Palatino Linotype" w:hAnsi="Palatino Linotype" w:cs="Arial"/>
        <w:b/>
        <w:bCs/>
        <w:sz w:val="20"/>
        <w:szCs w:val="20"/>
      </w:rPr>
    </w:pPr>
  </w:p>
  <w:p w:rsidR="005C7C8F" w:rsidRDefault="00A904FC" w:rsidP="00DC5C4E">
    <w:pPr>
      <w:pStyle w:val="Piedepgina"/>
      <w:rPr>
        <w:rFonts w:ascii="Palatino Linotype" w:hAnsi="Palatino Linotype" w:cs="Arial"/>
        <w:b/>
        <w:bCs/>
        <w:sz w:val="20"/>
        <w:szCs w:val="20"/>
      </w:rPr>
    </w:pPr>
  </w:p>
  <w:p w:rsidR="005C7C8F" w:rsidRPr="00F12350" w:rsidRDefault="009D62BC" w:rsidP="00DC5C4E">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2253F0">
      <w:rPr>
        <w:rFonts w:ascii="Palatino Linotype" w:hAnsi="Palatino Linotype" w:cs="Arial"/>
        <w:b/>
        <w:bCs/>
        <w:noProof/>
        <w:sz w:val="20"/>
        <w:szCs w:val="20"/>
      </w:rPr>
      <w:t>8</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2253F0">
      <w:rPr>
        <w:rFonts w:ascii="Palatino Linotype" w:hAnsi="Palatino Linotype" w:cs="Arial"/>
        <w:b/>
        <w:bCs/>
        <w:noProof/>
        <w:sz w:val="20"/>
        <w:szCs w:val="20"/>
      </w:rPr>
      <w:t>9</w:t>
    </w:r>
    <w:r w:rsidRPr="00F12350">
      <w:rPr>
        <w:rFonts w:ascii="Palatino Linotype" w:hAnsi="Palatino Linotype" w:cs="Arial"/>
        <w:b/>
        <w:bCs/>
        <w:sz w:val="20"/>
        <w:szCs w:val="20"/>
      </w:rPr>
      <w:fldChar w:fldCharType="end"/>
    </w:r>
  </w:p>
  <w:p w:rsidR="005C7C8F" w:rsidRDefault="00A904FC" w:rsidP="00DC5C4E">
    <w:pPr>
      <w:pStyle w:val="Piedepgina"/>
      <w:ind w:firstLine="70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04FC" w:rsidRDefault="00A904FC" w:rsidP="00B3668D">
      <w:r>
        <w:separator/>
      </w:r>
    </w:p>
  </w:footnote>
  <w:footnote w:type="continuationSeparator" w:id="0">
    <w:p w:rsidR="00A904FC" w:rsidRDefault="00A904FC" w:rsidP="00B366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7C8F" w:rsidRDefault="00A904FC">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9618360" o:spid="_x0000_s2049" type="#_x0000_t136" style="position:absolute;margin-left:0;margin-top:0;width:611.25pt;height:91.65pt;rotation:315;z-index:-251656192;mso-position-horizontal:center;mso-position-horizontal-relative:margin;mso-position-vertical:center;mso-position-vertical-relative:margin" o:allowincell="f" fillcolor="#f7caac [1301]" stroked="f">
          <v:fill opacity=".5"/>
          <v:textpath style="font-family:&quot;Palatino Linotype&quot;;font-size:1pt" string="VOTO PARTICULAR"/>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7C8F" w:rsidRDefault="009D62BC" w:rsidP="00DC5C4E">
    <w:pPr>
      <w:pStyle w:val="Encabezado"/>
      <w:tabs>
        <w:tab w:val="clear" w:pos="4252"/>
        <w:tab w:val="clear" w:pos="8504"/>
        <w:tab w:val="left" w:pos="2326"/>
      </w:tabs>
      <w:jc w:val="right"/>
    </w:pPr>
    <w:r>
      <w:rPr>
        <w:rFonts w:ascii="Palatino Linotype" w:hAnsi="Palatino Linotype"/>
        <w:noProof/>
        <w:lang w:val="es-MX" w:eastAsia="es-MX"/>
      </w:rPr>
      <w:drawing>
        <wp:anchor distT="0" distB="0" distL="114300" distR="114300" simplePos="0" relativeHeight="251659264" behindDoc="1" locked="0" layoutInCell="1" allowOverlap="1" wp14:anchorId="12FEEE7A" wp14:editId="590F723F">
          <wp:simplePos x="0" y="0"/>
          <wp:positionH relativeFrom="column">
            <wp:posOffset>-695435</wp:posOffset>
          </wp:positionH>
          <wp:positionV relativeFrom="paragraph">
            <wp:posOffset>-449746</wp:posOffset>
          </wp:positionV>
          <wp:extent cx="7604125" cy="9903460"/>
          <wp:effectExtent l="0" t="0" r="0" b="254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nueva2 181115.jpg"/>
                  <pic:cNvPicPr/>
                </pic:nvPicPr>
                <pic:blipFill>
                  <a:blip r:embed="rId1">
                    <a:extLst>
                      <a:ext uri="{28A0092B-C50C-407E-A947-70E740481C1C}">
                        <a14:useLocalDpi xmlns:a14="http://schemas.microsoft.com/office/drawing/2010/main" val="0"/>
                      </a:ext>
                    </a:extLst>
                  </a:blip>
                  <a:stretch>
                    <a:fillRect/>
                  </a:stretch>
                </pic:blipFill>
                <pic:spPr>
                  <a:xfrm>
                    <a:off x="0" y="0"/>
                    <a:ext cx="7604125" cy="9903460"/>
                  </a:xfrm>
                  <a:prstGeom prst="rect">
                    <a:avLst/>
                  </a:prstGeom>
                  <a:extLst>
                    <a:ext uri="{FAA26D3D-D897-4be2-8F04-BA451C77F1D7}">
                      <ma14:placeholderFlag xmlns:ve="http://schemas.openxmlformats.org/markup-compatibility/2006"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p w:rsidR="005C7C8F" w:rsidRDefault="00A904FC" w:rsidP="00DC5C4E">
    <w:pPr>
      <w:pStyle w:val="Encabezado"/>
      <w:tabs>
        <w:tab w:val="clear" w:pos="4252"/>
        <w:tab w:val="clear" w:pos="8504"/>
        <w:tab w:val="left" w:pos="2326"/>
      </w:tabs>
      <w:jc w:val="right"/>
      <w:rPr>
        <w:rFonts w:ascii="Palatino Linotype" w:hAnsi="Palatino Linotype"/>
      </w:rPr>
    </w:pPr>
  </w:p>
  <w:p w:rsidR="005C7C8F" w:rsidRDefault="00C50DFE" w:rsidP="00DC5C4E">
    <w:pPr>
      <w:pStyle w:val="Encabezado"/>
      <w:tabs>
        <w:tab w:val="clear" w:pos="4252"/>
        <w:tab w:val="clear" w:pos="8504"/>
        <w:tab w:val="left" w:pos="2326"/>
      </w:tabs>
      <w:jc w:val="right"/>
      <w:rPr>
        <w:rFonts w:ascii="Palatino Linotype" w:hAnsi="Palatino Linotype" w:cs="Arial"/>
        <w:sz w:val="20"/>
        <w:szCs w:val="20"/>
      </w:rPr>
    </w:pPr>
    <w:r w:rsidRPr="003764C2">
      <w:rPr>
        <w:rFonts w:ascii="Palatino Linotype" w:hAnsi="Palatino Linotype" w:cs="Arial"/>
        <w:sz w:val="20"/>
        <w:szCs w:val="20"/>
      </w:rPr>
      <w:t>VOTO</w:t>
    </w:r>
    <w:r w:rsidRPr="006F01F2">
      <w:rPr>
        <w:rFonts w:ascii="Palatino Linotype" w:hAnsi="Palatino Linotype" w:cs="Arial"/>
        <w:sz w:val="20"/>
        <w:szCs w:val="20"/>
      </w:rPr>
      <w:t xml:space="preserve"> PARTICULAR</w:t>
    </w:r>
  </w:p>
  <w:p w:rsidR="00C50DFE" w:rsidRDefault="00C50DFE" w:rsidP="00DC5C4E">
    <w:pPr>
      <w:pStyle w:val="Encabezado"/>
      <w:tabs>
        <w:tab w:val="clear" w:pos="4252"/>
        <w:tab w:val="clear" w:pos="8504"/>
        <w:tab w:val="left" w:pos="2326"/>
      </w:tabs>
      <w:jc w:val="right"/>
      <w:rPr>
        <w:rFonts w:ascii="Palatino Linotype" w:hAnsi="Palatino Linotype" w:cs="Arial"/>
        <w:sz w:val="20"/>
        <w:szCs w:val="20"/>
      </w:rPr>
    </w:pPr>
    <w:r w:rsidRPr="00706042">
      <w:rPr>
        <w:rFonts w:ascii="Palatino Linotype" w:hAnsi="Palatino Linotype" w:cs="Arial"/>
        <w:sz w:val="20"/>
        <w:szCs w:val="20"/>
      </w:rPr>
      <w:t>RECURSO DE REVISIÓN</w:t>
    </w:r>
    <w:r>
      <w:rPr>
        <w:rFonts w:ascii="Palatino Linotype" w:hAnsi="Palatino Linotype" w:cs="Arial"/>
        <w:sz w:val="20"/>
        <w:szCs w:val="20"/>
      </w:rPr>
      <w:t xml:space="preserve"> 02224/INFOEM/IP</w:t>
    </w:r>
    <w:r w:rsidRPr="00706042">
      <w:rPr>
        <w:rFonts w:ascii="Palatino Linotype" w:hAnsi="Palatino Linotype" w:cs="Arial"/>
        <w:sz w:val="20"/>
        <w:szCs w:val="20"/>
      </w:rPr>
      <w:t>/RR/201</w:t>
    </w:r>
    <w:r>
      <w:rPr>
        <w:rFonts w:ascii="Palatino Linotype" w:hAnsi="Palatino Linotype" w:cs="Arial"/>
        <w:sz w:val="20"/>
        <w:szCs w:val="20"/>
      </w:rPr>
      <w:t>8</w:t>
    </w:r>
  </w:p>
  <w:p w:rsidR="002E3829" w:rsidRDefault="00A904FC" w:rsidP="00DC5C4E">
    <w:pPr>
      <w:pStyle w:val="Encabezado"/>
      <w:tabs>
        <w:tab w:val="clear" w:pos="4252"/>
        <w:tab w:val="clear" w:pos="8504"/>
        <w:tab w:val="left" w:pos="2326"/>
      </w:tabs>
      <w:jc w:val="right"/>
      <w:rPr>
        <w:rFonts w:ascii="Palatino Linotype" w:hAnsi="Palatino Linotype" w:cs="Arial"/>
        <w:sz w:val="20"/>
        <w:szCs w:val="20"/>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9618361" o:spid="_x0000_s2050" type="#_x0000_t136" style="position:absolute;left:0;text-align:left;margin-left:0;margin-top:0;width:614.65pt;height:66.65pt;rotation:315;z-index:-251655168;mso-position-horizontal:center;mso-position-horizontal-relative:margin;mso-position-vertical:center;mso-position-vertical-relative:margin" o:allowincell="f" fillcolor="#bfbfbf [2412]" stroked="f">
          <v:fill opacity=".5"/>
          <v:textpath style="font-family:&quot;Palatino Linotype&quot;;font-size:1pt" string="VOTO PARTICULAR"/>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7C8F" w:rsidRDefault="00A904FC">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9618359" o:spid="_x0000_s2051" type="#_x0000_t136" style="position:absolute;margin-left:0;margin-top:0;width:611.25pt;height:91.65pt;rotation:315;z-index:-251654144;mso-position-horizontal:center;mso-position-horizontal-relative:margin;mso-position-vertical:center;mso-position-vertical-relative:margin" o:allowincell="f" fillcolor="#f7caac [1301]" stroked="f">
          <v:fill opacity=".5"/>
          <v:textpath style="font-family:&quot;Palatino Linotype&quot;;font-size:1pt" string="VOTO PARTICULAR"/>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0F6F22"/>
    <w:multiLevelType w:val="hybridMultilevel"/>
    <w:tmpl w:val="028ACDFA"/>
    <w:lvl w:ilvl="0" w:tplc="6A4C4CF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53325C78"/>
    <w:multiLevelType w:val="hybridMultilevel"/>
    <w:tmpl w:val="912CAAE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7D9E68FC"/>
    <w:multiLevelType w:val="hybridMultilevel"/>
    <w:tmpl w:val="956236E0"/>
    <w:lvl w:ilvl="0" w:tplc="78386808">
      <w:start w:val="1"/>
      <w:numFmt w:val="decimal"/>
      <w:lvlText w:val="%1."/>
      <w:lvlJc w:val="left"/>
      <w:pPr>
        <w:ind w:left="720" w:hanging="360"/>
      </w:pPr>
      <w:rPr>
        <w:rFonts w:cs="Times New Roman" w:hint="default"/>
        <w:color w:val="00000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22D2"/>
    <w:rsid w:val="000A515E"/>
    <w:rsid w:val="000F69D8"/>
    <w:rsid w:val="00122A8E"/>
    <w:rsid w:val="0012464B"/>
    <w:rsid w:val="001540A6"/>
    <w:rsid w:val="002253F0"/>
    <w:rsid w:val="00311484"/>
    <w:rsid w:val="003506DF"/>
    <w:rsid w:val="003B0ABE"/>
    <w:rsid w:val="003B4F23"/>
    <w:rsid w:val="003C26D3"/>
    <w:rsid w:val="004323CD"/>
    <w:rsid w:val="00480158"/>
    <w:rsid w:val="004B6A19"/>
    <w:rsid w:val="004E4E68"/>
    <w:rsid w:val="0050120A"/>
    <w:rsid w:val="0058183B"/>
    <w:rsid w:val="005C0191"/>
    <w:rsid w:val="00620F0F"/>
    <w:rsid w:val="00640D62"/>
    <w:rsid w:val="00697241"/>
    <w:rsid w:val="006E0B50"/>
    <w:rsid w:val="007128CE"/>
    <w:rsid w:val="00881744"/>
    <w:rsid w:val="008D2D7A"/>
    <w:rsid w:val="009169AB"/>
    <w:rsid w:val="009A1FE6"/>
    <w:rsid w:val="009B63E4"/>
    <w:rsid w:val="009D62BC"/>
    <w:rsid w:val="009E22D2"/>
    <w:rsid w:val="00A24DF2"/>
    <w:rsid w:val="00A904FC"/>
    <w:rsid w:val="00AF22AF"/>
    <w:rsid w:val="00B3668D"/>
    <w:rsid w:val="00B425C2"/>
    <w:rsid w:val="00BB0C92"/>
    <w:rsid w:val="00BE207C"/>
    <w:rsid w:val="00C23B43"/>
    <w:rsid w:val="00C50DFE"/>
    <w:rsid w:val="00C9714C"/>
    <w:rsid w:val="00CF3DC0"/>
    <w:rsid w:val="00DB7D85"/>
    <w:rsid w:val="00E44FBC"/>
    <w:rsid w:val="00EB026E"/>
    <w:rsid w:val="00EF7EFF"/>
    <w:rsid w:val="00F201C7"/>
    <w:rsid w:val="00F31FFD"/>
    <w:rsid w:val="00F6046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FC8CF6E5-022E-4378-BA14-B09281C44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22D2"/>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E22D2"/>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9E22D2"/>
    <w:rPr>
      <w:rFonts w:eastAsiaTheme="minorEastAsia"/>
      <w:sz w:val="24"/>
      <w:szCs w:val="24"/>
      <w:lang w:val="es-ES_tradnl" w:eastAsia="es-ES"/>
    </w:rPr>
  </w:style>
  <w:style w:type="paragraph" w:styleId="Piedepgina">
    <w:name w:val="footer"/>
    <w:basedOn w:val="Normal"/>
    <w:link w:val="PiedepginaCar"/>
    <w:uiPriority w:val="99"/>
    <w:unhideWhenUsed/>
    <w:rsid w:val="009E22D2"/>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9E22D2"/>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E22D2"/>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9E22D2"/>
    <w:pPr>
      <w:ind w:left="708"/>
    </w:pPr>
    <w:rPr>
      <w:sz w:val="22"/>
      <w:szCs w:val="22"/>
      <w:lang w:eastAsia="en-US"/>
    </w:rPr>
  </w:style>
  <w:style w:type="paragraph" w:customStyle="1" w:styleId="j">
    <w:name w:val="j"/>
    <w:basedOn w:val="Normal"/>
    <w:rsid w:val="009E22D2"/>
    <w:pPr>
      <w:spacing w:before="100" w:beforeAutospacing="1" w:after="100" w:afterAutospacing="1"/>
    </w:pPr>
    <w:rPr>
      <w:lang w:val="es-MX" w:eastAsia="es-MX"/>
    </w:rPr>
  </w:style>
  <w:style w:type="character" w:customStyle="1" w:styleId="nacep">
    <w:name w:val="n_acep"/>
    <w:basedOn w:val="Fuentedeprrafopredeter"/>
    <w:rsid w:val="009E22D2"/>
  </w:style>
  <w:style w:type="character" w:customStyle="1" w:styleId="u">
    <w:name w:val="u"/>
    <w:basedOn w:val="Fuentedeprrafopredeter"/>
    <w:rsid w:val="009E22D2"/>
  </w:style>
  <w:style w:type="paragraph" w:styleId="Textodeglobo">
    <w:name w:val="Balloon Text"/>
    <w:basedOn w:val="Normal"/>
    <w:link w:val="TextodegloboCar"/>
    <w:uiPriority w:val="99"/>
    <w:semiHidden/>
    <w:unhideWhenUsed/>
    <w:rsid w:val="00BE207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E207C"/>
    <w:rPr>
      <w:rFonts w:ascii="Segoe UI" w:eastAsia="Times New Roman" w:hAnsi="Segoe UI" w:cs="Segoe UI"/>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280</TotalTime>
  <Pages>9</Pages>
  <Words>1788</Words>
  <Characters>9838</Characters>
  <Application>Microsoft Office Word</Application>
  <DocSecurity>0</DocSecurity>
  <Lines>81</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user</cp:lastModifiedBy>
  <cp:revision>12</cp:revision>
  <cp:lastPrinted>2018-08-20T18:18:00Z</cp:lastPrinted>
  <dcterms:created xsi:type="dcterms:W3CDTF">2018-08-24T00:36:00Z</dcterms:created>
  <dcterms:modified xsi:type="dcterms:W3CDTF">2018-10-11T01:41:00Z</dcterms:modified>
</cp:coreProperties>
</file>